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03CE" w:rsidRPr="005203CE" w:rsidRDefault="005203CE" w:rsidP="005203CE">
      <w:pPr>
        <w:spacing w:before="240" w:after="120" w:line="240" w:lineRule="auto"/>
        <w:jc w:val="center"/>
        <w:rPr>
          <w:rFonts w:eastAsia="Times New Roman" w:cs="Times New Roman"/>
          <w:b/>
          <w:bCs/>
          <w:color w:val="000000"/>
          <w:szCs w:val="24"/>
          <w:lang w:eastAsia="hr-HR"/>
        </w:rPr>
      </w:pPr>
      <w:r w:rsidRPr="005203CE">
        <w:rPr>
          <w:rFonts w:eastAsia="Times New Roman" w:cs="Times New Roman"/>
          <w:b/>
          <w:bCs/>
          <w:color w:val="000000"/>
          <w:szCs w:val="24"/>
          <w:lang w:eastAsia="hr-HR"/>
        </w:rPr>
        <w:t>Obavijest Komisije o tehničkim smjernicama za razvrstavanje otpada</w:t>
      </w:r>
    </w:p>
    <w:p w:rsidR="005203CE" w:rsidRPr="005203CE" w:rsidRDefault="005203CE" w:rsidP="005203CE">
      <w:pPr>
        <w:spacing w:before="120" w:after="120" w:line="240" w:lineRule="auto"/>
        <w:jc w:val="center"/>
        <w:rPr>
          <w:rFonts w:eastAsia="Times New Roman" w:cs="Times New Roman"/>
          <w:color w:val="000000"/>
          <w:szCs w:val="24"/>
          <w:lang w:eastAsia="hr-HR"/>
        </w:rPr>
      </w:pPr>
      <w:r w:rsidRPr="005203CE">
        <w:rPr>
          <w:rFonts w:eastAsia="Times New Roman" w:cs="Times New Roman"/>
          <w:color w:val="000000"/>
          <w:szCs w:val="24"/>
          <w:lang w:eastAsia="hr-HR"/>
        </w:rPr>
        <w:t>(2018/C 124/01)</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Svrha je ove Obavijesti pružiti tehničke smjernice o određenim aspektima Direktive 2008/98/EZ o otpadu („Okvirna direktiva o otpadu” ili „ODO”)</w:t>
      </w:r>
      <w:hyperlink r:id="rId4" w:anchor="ntr1-C_2018124HR.01000101-E0001"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1</w:t>
        </w:r>
        <w:r w:rsidRPr="005203CE">
          <w:rPr>
            <w:rFonts w:ascii="inherit" w:eastAsia="Times New Roman" w:hAnsi="inherit" w:cs="Times New Roman"/>
            <w:color w:val="0000FF"/>
            <w:szCs w:val="24"/>
            <w:u w:val="single"/>
            <w:lang w:eastAsia="hr-HR"/>
          </w:rPr>
          <w:t>)</w:t>
        </w:r>
      </w:hyperlink>
      <w:r w:rsidRPr="005203CE">
        <w:rPr>
          <w:rFonts w:eastAsia="Times New Roman" w:cs="Times New Roman"/>
          <w:color w:val="000000"/>
          <w:szCs w:val="24"/>
          <w:lang w:eastAsia="hr-HR"/>
        </w:rPr>
        <w:t> i Odluke Komisije 2000/532/EZ o popisu otpada („Popis otpada” ili „Popis”), kako su revidirane 2014. i 2017.</w:t>
      </w:r>
      <w:hyperlink r:id="rId5" w:anchor="ntr2-C_2018124HR.01000101-E0002"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2</w:t>
        </w:r>
        <w:r w:rsidRPr="005203CE">
          <w:rPr>
            <w:rFonts w:ascii="inherit" w:eastAsia="Times New Roman" w:hAnsi="inherit" w:cs="Times New Roman"/>
            <w:color w:val="0000FF"/>
            <w:szCs w:val="24"/>
            <w:u w:val="single"/>
            <w:lang w:eastAsia="hr-HR"/>
          </w:rPr>
          <w:t>)</w:t>
        </w:r>
      </w:hyperlink>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U njoj se posebice navode objašnjenja i smjernice za nacionalna tijela, uključujući tijela lokalne vlasti i poduzeća (npr. za izdavanje dozvola) o ispravnom tumačenju i primjeni relevantnog zakonodavstva EU-a o razvrstavanju otpada, točnije o utvrđivanju opasnih svojstava, procjeni ima li otpad kakvo opasno svojstvo i, u konačnici, razvrstavanju otpada na opasan ili neopasan.</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Obavijest je donesena nakon rasprava i savjetovanja s državama članicama i dionicima</w:t>
      </w:r>
      <w:hyperlink r:id="rId6" w:anchor="ntr3-C_2018124HR.01000101-E0003"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3</w:t>
        </w:r>
        <w:r w:rsidRPr="005203CE">
          <w:rPr>
            <w:rFonts w:ascii="inherit" w:eastAsia="Times New Roman" w:hAnsi="inherit" w:cs="Times New Roman"/>
            <w:color w:val="0000FF"/>
            <w:szCs w:val="24"/>
            <w:u w:val="single"/>
            <w:lang w:eastAsia="hr-HR"/>
          </w:rPr>
          <w:t>)</w:t>
        </w:r>
      </w:hyperlink>
      <w:r w:rsidRPr="005203CE">
        <w:rPr>
          <w:rFonts w:eastAsia="Times New Roman" w:cs="Times New Roman"/>
          <w:color w:val="000000"/>
          <w:szCs w:val="24"/>
          <w:lang w:eastAsia="hr-HR"/>
        </w:rPr>
        <w:t>.</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Obavijest je podijeljena u tri poglavlja i četiri priloga.</w:t>
      </w:r>
    </w:p>
    <w:tbl>
      <w:tblPr>
        <w:tblW w:w="5000" w:type="pct"/>
        <w:tblCellSpacing w:w="0" w:type="dxa"/>
        <w:tblCellMar>
          <w:left w:w="0" w:type="dxa"/>
          <w:right w:w="0" w:type="dxa"/>
        </w:tblCellMar>
        <w:tblLook w:val="04A0" w:firstRow="1" w:lastRow="0" w:firstColumn="1" w:lastColumn="0" w:noHBand="0" w:noVBand="1"/>
      </w:tblPr>
      <w:tblGrid>
        <w:gridCol w:w="250"/>
        <w:gridCol w:w="882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Poglavlje 1. donosi opći kontekst razvrstavanja otpada i upute za služenje Smjernicama.</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poglavlju 2. ukratko su predstavljeni bitni dijelovi zakonodavstva EU-a o otpadu te je objašnjena njihova važnost za definiranje i razvrstavanje (opasnog) otpada.</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poglavlju 3. navode se glavni koraci za razvrstavanje otpada uz objašnjenje osnovnih koncepata, ali se pritom ne ulazi u detaljnu raspravu.</w:t>
            </w:r>
          </w:p>
        </w:tc>
      </w:tr>
    </w:tbl>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Za podrobne se informacije upućuje na odgovarajuće priloge u kojima su opširno opisani posebni aspekti.</w:t>
      </w:r>
    </w:p>
    <w:tbl>
      <w:tblPr>
        <w:tblW w:w="5000" w:type="pct"/>
        <w:tblCellSpacing w:w="0" w:type="dxa"/>
        <w:tblCellMar>
          <w:left w:w="0" w:type="dxa"/>
          <w:right w:w="0" w:type="dxa"/>
        </w:tblCellMar>
        <w:tblLook w:val="04A0" w:firstRow="1" w:lastRow="0" w:firstColumn="1" w:lastColumn="0" w:noHBand="0" w:noVBand="1"/>
      </w:tblPr>
      <w:tblGrid>
        <w:gridCol w:w="243"/>
        <w:gridCol w:w="8829"/>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Prilog 1. sadržava informacije o Popisu otpada i odabiru odgovarajućih unosa s tog popisa.</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Prilogu 2. predstavljeni su različiti izvori informacija o opasnim tvarima i njihovom razvrstavanju.</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Prilogu 3. opisana su načela za procjenu pojedinačnih opasnih svojstava (od HP 1 do HP 15).</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Prilog 4. donosi pregled osnovnih koncepata te upućivanja na dostupne norme i metode za uzorkovanje i kemijske analize otpada.</w:t>
            </w:r>
          </w:p>
        </w:tc>
      </w:tr>
    </w:tbl>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U ovom se dokumentu navode objašnjenja koja su u skladu s postojećim zakonodavstvom EU-a i uzimaju u obzir smjernice za razvrstavanje otpada iz raznih država članica EU-a.</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Ove se Tehničke smjernice mogu prema potrebi ažurirati na temelju iskustva s provedbom relevantnog zakonodavstva EU-a.</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Smjernicama iz ove Obavijesti ne dovodi se u pitanje tumačenje koje može dati Sud Europske unije. Stajalištima izraženim u ovim Tehničkim smjernicama ne može se prejudicirati stajalište koje bi Komisija mogla zauzeti pred Sudom.</w:t>
      </w:r>
    </w:p>
    <w:p w:rsidR="005203CE" w:rsidRPr="005203CE" w:rsidRDefault="005203CE" w:rsidP="005203CE">
      <w:pPr>
        <w:spacing w:before="240" w:after="120" w:line="240" w:lineRule="auto"/>
        <w:jc w:val="both"/>
        <w:rPr>
          <w:rFonts w:eastAsia="Times New Roman" w:cs="Times New Roman"/>
          <w:b/>
          <w:bCs/>
          <w:color w:val="000000"/>
          <w:szCs w:val="24"/>
          <w:lang w:eastAsia="hr-HR"/>
        </w:rPr>
      </w:pPr>
      <w:r w:rsidRPr="005203CE">
        <w:rPr>
          <w:rFonts w:ascii="inherit" w:eastAsia="Times New Roman" w:hAnsi="inherit" w:cs="Times New Roman"/>
          <w:b/>
          <w:bCs/>
          <w:color w:val="000000"/>
          <w:szCs w:val="24"/>
          <w:lang w:eastAsia="hr-HR"/>
        </w:rPr>
        <w:t>POKRATE</w:t>
      </w:r>
    </w:p>
    <w:tbl>
      <w:tblPr>
        <w:tblW w:w="5000" w:type="pct"/>
        <w:tblCellSpacing w:w="0" w:type="dxa"/>
        <w:tblCellMar>
          <w:left w:w="0" w:type="dxa"/>
          <w:right w:w="0" w:type="dxa"/>
        </w:tblCellMar>
        <w:tblLook w:val="04A0" w:firstRow="1" w:lastRow="0" w:firstColumn="1" w:lastColumn="0" w:noHBand="0" w:noVBand="1"/>
      </w:tblPr>
      <w:tblGrid>
        <w:gridCol w:w="921"/>
        <w:gridCol w:w="8151"/>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ATP</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prilagodba tehničkom napretku (</w:t>
            </w:r>
            <w:proofErr w:type="spellStart"/>
            <w:r w:rsidRPr="005203CE">
              <w:rPr>
                <w:rFonts w:ascii="inherit" w:eastAsia="Times New Roman" w:hAnsi="inherit" w:cs="Times New Roman"/>
                <w:color w:val="000000"/>
                <w:szCs w:val="24"/>
                <w:lang w:eastAsia="hr-HR"/>
              </w:rPr>
              <w:t>eng</w:t>
            </w:r>
            <w:proofErr w:type="spellEnd"/>
            <w:r w:rsidRPr="005203CE">
              <w:rPr>
                <w:rFonts w:ascii="inherit" w:eastAsia="Times New Roman" w:hAnsi="inherit" w:cs="Times New Roman"/>
                <w:color w:val="000000"/>
                <w:szCs w:val="24"/>
                <w:lang w:eastAsia="hr-HR"/>
              </w:rPr>
              <w:t>. </w:t>
            </w:r>
            <w:proofErr w:type="spellStart"/>
            <w:r w:rsidRPr="005203CE">
              <w:rPr>
                <w:rFonts w:ascii="inherit" w:eastAsia="Times New Roman" w:hAnsi="inherit" w:cs="Times New Roman"/>
                <w:i/>
                <w:iCs/>
                <w:color w:val="000000"/>
                <w:szCs w:val="24"/>
                <w:lang w:eastAsia="hr-HR"/>
              </w:rPr>
              <w:t>Adaptation</w:t>
            </w:r>
            <w:proofErr w:type="spellEnd"/>
            <w:r w:rsidRPr="005203CE">
              <w:rPr>
                <w:rFonts w:ascii="inherit" w:eastAsia="Times New Roman" w:hAnsi="inherit" w:cs="Times New Roman"/>
                <w:i/>
                <w:iCs/>
                <w:color w:val="000000"/>
                <w:szCs w:val="24"/>
                <w:lang w:eastAsia="hr-HR"/>
              </w:rPr>
              <w:t xml:space="preserve"> to </w:t>
            </w:r>
            <w:proofErr w:type="spellStart"/>
            <w:r w:rsidRPr="005203CE">
              <w:rPr>
                <w:rFonts w:ascii="inherit" w:eastAsia="Times New Roman" w:hAnsi="inherit" w:cs="Times New Roman"/>
                <w:i/>
                <w:iCs/>
                <w:color w:val="000000"/>
                <w:szCs w:val="24"/>
                <w:lang w:eastAsia="hr-HR"/>
              </w:rPr>
              <w:t>Technical</w:t>
            </w:r>
            <w:proofErr w:type="spellEnd"/>
            <w:r w:rsidRPr="005203CE">
              <w:rPr>
                <w:rFonts w:ascii="inherit" w:eastAsia="Times New Roman" w:hAnsi="inherit" w:cs="Times New Roman"/>
                <w:i/>
                <w:iCs/>
                <w:color w:val="000000"/>
                <w:szCs w:val="24"/>
                <w:lang w:eastAsia="hr-HR"/>
              </w:rPr>
              <w:t xml:space="preserve"> Progress</w:t>
            </w:r>
            <w:r w:rsidRPr="005203CE">
              <w:rPr>
                <w:rFonts w:ascii="inherit" w:eastAsia="Times New Roman" w:hAnsi="inherit" w:cs="Times New Roman"/>
                <w:color w:val="000000"/>
                <w:szCs w:val="24"/>
                <w:lang w:eastAsia="hr-HR"/>
              </w:rPr>
              <w:t>)</w:t>
            </w:r>
          </w:p>
        </w:tc>
      </w:tr>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BDE</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proofErr w:type="spellStart"/>
            <w:r w:rsidRPr="005203CE">
              <w:rPr>
                <w:rFonts w:ascii="inherit" w:eastAsia="Times New Roman" w:hAnsi="inherit" w:cs="Times New Roman"/>
                <w:color w:val="000000"/>
                <w:szCs w:val="24"/>
                <w:lang w:eastAsia="hr-HR"/>
              </w:rPr>
              <w:t>bromirani</w:t>
            </w:r>
            <w:proofErr w:type="spellEnd"/>
            <w:r w:rsidRPr="005203CE">
              <w:rPr>
                <w:rFonts w:ascii="inherit" w:eastAsia="Times New Roman" w:hAnsi="inherit" w:cs="Times New Roman"/>
                <w:color w:val="000000"/>
                <w:szCs w:val="24"/>
                <w:lang w:eastAsia="hr-HR"/>
              </w:rPr>
              <w:t xml:space="preserve"> </w:t>
            </w:r>
            <w:proofErr w:type="spellStart"/>
            <w:r w:rsidRPr="005203CE">
              <w:rPr>
                <w:rFonts w:ascii="inherit" w:eastAsia="Times New Roman" w:hAnsi="inherit" w:cs="Times New Roman"/>
                <w:color w:val="000000"/>
                <w:szCs w:val="24"/>
                <w:lang w:eastAsia="hr-HR"/>
              </w:rPr>
              <w:t>difenileteri</w:t>
            </w:r>
            <w:proofErr w:type="spellEnd"/>
            <w:r w:rsidRPr="005203CE">
              <w:rPr>
                <w:rFonts w:ascii="inherit" w:eastAsia="Times New Roman" w:hAnsi="inherit" w:cs="Times New Roman"/>
                <w:color w:val="000000"/>
                <w:szCs w:val="24"/>
                <w:lang w:eastAsia="hr-HR"/>
              </w:rPr>
              <w:t xml:space="preserve"> (</w:t>
            </w:r>
            <w:proofErr w:type="spellStart"/>
            <w:r w:rsidRPr="005203CE">
              <w:rPr>
                <w:rFonts w:ascii="inherit" w:eastAsia="Times New Roman" w:hAnsi="inherit" w:cs="Times New Roman"/>
                <w:color w:val="000000"/>
                <w:szCs w:val="24"/>
                <w:lang w:eastAsia="hr-HR"/>
              </w:rPr>
              <w:t>eng</w:t>
            </w:r>
            <w:proofErr w:type="spellEnd"/>
            <w:r w:rsidRPr="005203CE">
              <w:rPr>
                <w:rFonts w:ascii="inherit" w:eastAsia="Times New Roman" w:hAnsi="inherit" w:cs="Times New Roman"/>
                <w:color w:val="000000"/>
                <w:szCs w:val="24"/>
                <w:lang w:eastAsia="hr-HR"/>
              </w:rPr>
              <w:t>. </w:t>
            </w:r>
            <w:proofErr w:type="spellStart"/>
            <w:r w:rsidRPr="005203CE">
              <w:rPr>
                <w:rFonts w:ascii="inherit" w:eastAsia="Times New Roman" w:hAnsi="inherit" w:cs="Times New Roman"/>
                <w:i/>
                <w:iCs/>
                <w:color w:val="000000"/>
                <w:szCs w:val="24"/>
                <w:lang w:eastAsia="hr-HR"/>
              </w:rPr>
              <w:t>brominated</w:t>
            </w:r>
            <w:proofErr w:type="spellEnd"/>
            <w:r w:rsidRPr="005203CE">
              <w:rPr>
                <w:rFonts w:ascii="inherit" w:eastAsia="Times New Roman" w:hAnsi="inherit" w:cs="Times New Roman"/>
                <w:i/>
                <w:iCs/>
                <w:color w:val="000000"/>
                <w:szCs w:val="24"/>
                <w:lang w:eastAsia="hr-HR"/>
              </w:rPr>
              <w:t xml:space="preserve"> </w:t>
            </w:r>
            <w:proofErr w:type="spellStart"/>
            <w:r w:rsidRPr="005203CE">
              <w:rPr>
                <w:rFonts w:ascii="inherit" w:eastAsia="Times New Roman" w:hAnsi="inherit" w:cs="Times New Roman"/>
                <w:i/>
                <w:iCs/>
                <w:color w:val="000000"/>
                <w:szCs w:val="24"/>
                <w:lang w:eastAsia="hr-HR"/>
              </w:rPr>
              <w:t>diphenyl</w:t>
            </w:r>
            <w:proofErr w:type="spellEnd"/>
            <w:r w:rsidRPr="005203CE">
              <w:rPr>
                <w:rFonts w:ascii="inherit" w:eastAsia="Times New Roman" w:hAnsi="inherit" w:cs="Times New Roman"/>
                <w:i/>
                <w:iCs/>
                <w:color w:val="000000"/>
                <w:szCs w:val="24"/>
                <w:lang w:eastAsia="hr-HR"/>
              </w:rPr>
              <w:t xml:space="preserve"> </w:t>
            </w:r>
            <w:proofErr w:type="spellStart"/>
            <w:r w:rsidRPr="005203CE">
              <w:rPr>
                <w:rFonts w:ascii="inherit" w:eastAsia="Times New Roman" w:hAnsi="inherit" w:cs="Times New Roman"/>
                <w:i/>
                <w:iCs/>
                <w:color w:val="000000"/>
                <w:szCs w:val="24"/>
                <w:lang w:eastAsia="hr-HR"/>
              </w:rPr>
              <w:t>ethers</w:t>
            </w:r>
            <w:proofErr w:type="spellEnd"/>
            <w:r w:rsidRPr="005203CE">
              <w:rPr>
                <w:rFonts w:ascii="inherit" w:eastAsia="Times New Roman" w:hAnsi="inherit" w:cs="Times New Roman"/>
                <w:color w:val="000000"/>
                <w:szCs w:val="24"/>
                <w:lang w:eastAsia="hr-HR"/>
              </w:rPr>
              <w:t>)</w:t>
            </w:r>
          </w:p>
        </w:tc>
      </w:tr>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lastRenderedPageBreak/>
              <w:t>BREF</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referentni dokument o najboljim raspoloživim tehnikama (</w:t>
            </w:r>
            <w:proofErr w:type="spellStart"/>
            <w:r w:rsidRPr="005203CE">
              <w:rPr>
                <w:rFonts w:ascii="inherit" w:eastAsia="Times New Roman" w:hAnsi="inherit" w:cs="Times New Roman"/>
                <w:color w:val="000000"/>
                <w:szCs w:val="24"/>
                <w:lang w:eastAsia="hr-HR"/>
              </w:rPr>
              <w:t>eng</w:t>
            </w:r>
            <w:proofErr w:type="spellEnd"/>
            <w:r w:rsidRPr="005203CE">
              <w:rPr>
                <w:rFonts w:ascii="inherit" w:eastAsia="Times New Roman" w:hAnsi="inherit" w:cs="Times New Roman"/>
                <w:color w:val="000000"/>
                <w:szCs w:val="24"/>
                <w:lang w:eastAsia="hr-HR"/>
              </w:rPr>
              <w:t>. </w:t>
            </w:r>
            <w:r w:rsidRPr="005203CE">
              <w:rPr>
                <w:rFonts w:ascii="inherit" w:eastAsia="Times New Roman" w:hAnsi="inherit" w:cs="Times New Roman"/>
                <w:i/>
                <w:iCs/>
                <w:color w:val="000000"/>
                <w:szCs w:val="24"/>
                <w:lang w:eastAsia="hr-HR"/>
              </w:rPr>
              <w:t xml:space="preserve">Best </w:t>
            </w:r>
            <w:proofErr w:type="spellStart"/>
            <w:r w:rsidRPr="005203CE">
              <w:rPr>
                <w:rFonts w:ascii="inherit" w:eastAsia="Times New Roman" w:hAnsi="inherit" w:cs="Times New Roman"/>
                <w:i/>
                <w:iCs/>
                <w:color w:val="000000"/>
                <w:szCs w:val="24"/>
                <w:lang w:eastAsia="hr-HR"/>
              </w:rPr>
              <w:t>Available</w:t>
            </w:r>
            <w:proofErr w:type="spellEnd"/>
            <w:r w:rsidRPr="005203CE">
              <w:rPr>
                <w:rFonts w:ascii="inherit" w:eastAsia="Times New Roman" w:hAnsi="inherit" w:cs="Times New Roman"/>
                <w:i/>
                <w:iCs/>
                <w:color w:val="000000"/>
                <w:szCs w:val="24"/>
                <w:lang w:eastAsia="hr-HR"/>
              </w:rPr>
              <w:t xml:space="preserve"> </w:t>
            </w:r>
            <w:proofErr w:type="spellStart"/>
            <w:r w:rsidRPr="005203CE">
              <w:rPr>
                <w:rFonts w:ascii="inherit" w:eastAsia="Times New Roman" w:hAnsi="inherit" w:cs="Times New Roman"/>
                <w:i/>
                <w:iCs/>
                <w:color w:val="000000"/>
                <w:szCs w:val="24"/>
                <w:lang w:eastAsia="hr-HR"/>
              </w:rPr>
              <w:t>Techniques</w:t>
            </w:r>
            <w:proofErr w:type="spellEnd"/>
            <w:r w:rsidRPr="005203CE">
              <w:rPr>
                <w:rFonts w:ascii="inherit" w:eastAsia="Times New Roman" w:hAnsi="inherit" w:cs="Times New Roman"/>
                <w:i/>
                <w:iCs/>
                <w:color w:val="000000"/>
                <w:szCs w:val="24"/>
                <w:lang w:eastAsia="hr-HR"/>
              </w:rPr>
              <w:t xml:space="preserve"> Reference </w:t>
            </w:r>
            <w:proofErr w:type="spellStart"/>
            <w:r w:rsidRPr="005203CE">
              <w:rPr>
                <w:rFonts w:ascii="inherit" w:eastAsia="Times New Roman" w:hAnsi="inherit" w:cs="Times New Roman"/>
                <w:i/>
                <w:iCs/>
                <w:color w:val="000000"/>
                <w:szCs w:val="24"/>
                <w:lang w:eastAsia="hr-HR"/>
              </w:rPr>
              <w:t>Document</w:t>
            </w:r>
            <w:proofErr w:type="spellEnd"/>
            <w:r w:rsidRPr="005203CE">
              <w:rPr>
                <w:rFonts w:ascii="inherit" w:eastAsia="Times New Roman" w:hAnsi="inherit" w:cs="Times New Roman"/>
                <w:color w:val="000000"/>
                <w:szCs w:val="24"/>
                <w:lang w:eastAsia="hr-HR"/>
              </w:rPr>
              <w:t>)</w:t>
            </w:r>
          </w:p>
        </w:tc>
      </w:tr>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BTEX</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 xml:space="preserve">benzen, </w:t>
            </w:r>
            <w:proofErr w:type="spellStart"/>
            <w:r w:rsidRPr="005203CE">
              <w:rPr>
                <w:rFonts w:ascii="inherit" w:eastAsia="Times New Roman" w:hAnsi="inherit" w:cs="Times New Roman"/>
                <w:color w:val="000000"/>
                <w:szCs w:val="24"/>
                <w:lang w:eastAsia="hr-HR"/>
              </w:rPr>
              <w:t>toluen</w:t>
            </w:r>
            <w:proofErr w:type="spellEnd"/>
            <w:r w:rsidRPr="005203CE">
              <w:rPr>
                <w:rFonts w:ascii="inherit" w:eastAsia="Times New Roman" w:hAnsi="inherit" w:cs="Times New Roman"/>
                <w:color w:val="000000"/>
                <w:szCs w:val="24"/>
                <w:lang w:eastAsia="hr-HR"/>
              </w:rPr>
              <w:t xml:space="preserve">, etilbenzen i </w:t>
            </w:r>
            <w:proofErr w:type="spellStart"/>
            <w:r w:rsidRPr="005203CE">
              <w:rPr>
                <w:rFonts w:ascii="inherit" w:eastAsia="Times New Roman" w:hAnsi="inherit" w:cs="Times New Roman"/>
                <w:color w:val="000000"/>
                <w:szCs w:val="24"/>
                <w:lang w:eastAsia="hr-HR"/>
              </w:rPr>
              <w:t>ksilen</w:t>
            </w:r>
            <w:proofErr w:type="spellEnd"/>
            <w:r w:rsidRPr="005203CE">
              <w:rPr>
                <w:rFonts w:ascii="inherit" w:eastAsia="Times New Roman" w:hAnsi="inherit" w:cs="Times New Roman"/>
                <w:color w:val="000000"/>
                <w:szCs w:val="24"/>
                <w:lang w:eastAsia="hr-HR"/>
              </w:rPr>
              <w:t xml:space="preserve"> (</w:t>
            </w:r>
            <w:proofErr w:type="spellStart"/>
            <w:r w:rsidRPr="005203CE">
              <w:rPr>
                <w:rFonts w:ascii="inherit" w:eastAsia="Times New Roman" w:hAnsi="inherit" w:cs="Times New Roman"/>
                <w:color w:val="000000"/>
                <w:szCs w:val="24"/>
                <w:lang w:eastAsia="hr-HR"/>
              </w:rPr>
              <w:t>eng</w:t>
            </w:r>
            <w:proofErr w:type="spellEnd"/>
            <w:r w:rsidRPr="005203CE">
              <w:rPr>
                <w:rFonts w:ascii="inherit" w:eastAsia="Times New Roman" w:hAnsi="inherit" w:cs="Times New Roman"/>
                <w:color w:val="000000"/>
                <w:szCs w:val="24"/>
                <w:lang w:eastAsia="hr-HR"/>
              </w:rPr>
              <w:t>. </w:t>
            </w:r>
            <w:r w:rsidRPr="005203CE">
              <w:rPr>
                <w:rFonts w:ascii="inherit" w:eastAsia="Times New Roman" w:hAnsi="inherit" w:cs="Times New Roman"/>
                <w:i/>
                <w:iCs/>
                <w:color w:val="000000"/>
                <w:szCs w:val="24"/>
                <w:lang w:eastAsia="hr-HR"/>
              </w:rPr>
              <w:t xml:space="preserve">Benzene, </w:t>
            </w:r>
            <w:proofErr w:type="spellStart"/>
            <w:r w:rsidRPr="005203CE">
              <w:rPr>
                <w:rFonts w:ascii="inherit" w:eastAsia="Times New Roman" w:hAnsi="inherit" w:cs="Times New Roman"/>
                <w:i/>
                <w:iCs/>
                <w:color w:val="000000"/>
                <w:szCs w:val="24"/>
                <w:lang w:eastAsia="hr-HR"/>
              </w:rPr>
              <w:t>Toluene</w:t>
            </w:r>
            <w:proofErr w:type="spellEnd"/>
            <w:r w:rsidRPr="005203CE">
              <w:rPr>
                <w:rFonts w:ascii="inherit" w:eastAsia="Times New Roman" w:hAnsi="inherit" w:cs="Times New Roman"/>
                <w:i/>
                <w:iCs/>
                <w:color w:val="000000"/>
                <w:szCs w:val="24"/>
                <w:lang w:eastAsia="hr-HR"/>
              </w:rPr>
              <w:t xml:space="preserve">, </w:t>
            </w:r>
            <w:proofErr w:type="spellStart"/>
            <w:r w:rsidRPr="005203CE">
              <w:rPr>
                <w:rFonts w:ascii="inherit" w:eastAsia="Times New Roman" w:hAnsi="inherit" w:cs="Times New Roman"/>
                <w:i/>
                <w:iCs/>
                <w:color w:val="000000"/>
                <w:szCs w:val="24"/>
                <w:lang w:eastAsia="hr-HR"/>
              </w:rPr>
              <w:t>Ethylbenzene</w:t>
            </w:r>
            <w:proofErr w:type="spellEnd"/>
            <w:r w:rsidRPr="005203CE">
              <w:rPr>
                <w:rFonts w:ascii="inherit" w:eastAsia="Times New Roman" w:hAnsi="inherit" w:cs="Times New Roman"/>
                <w:i/>
                <w:iCs/>
                <w:color w:val="000000"/>
                <w:szCs w:val="24"/>
                <w:lang w:eastAsia="hr-HR"/>
              </w:rPr>
              <w:t xml:space="preserve"> </w:t>
            </w:r>
            <w:proofErr w:type="spellStart"/>
            <w:r w:rsidRPr="005203CE">
              <w:rPr>
                <w:rFonts w:ascii="inherit" w:eastAsia="Times New Roman" w:hAnsi="inherit" w:cs="Times New Roman"/>
                <w:i/>
                <w:iCs/>
                <w:color w:val="000000"/>
                <w:szCs w:val="24"/>
                <w:lang w:eastAsia="hr-HR"/>
              </w:rPr>
              <w:t>and</w:t>
            </w:r>
            <w:proofErr w:type="spellEnd"/>
            <w:r w:rsidRPr="005203CE">
              <w:rPr>
                <w:rFonts w:ascii="inherit" w:eastAsia="Times New Roman" w:hAnsi="inherit" w:cs="Times New Roman"/>
                <w:i/>
                <w:iCs/>
                <w:color w:val="000000"/>
                <w:szCs w:val="24"/>
                <w:lang w:eastAsia="hr-HR"/>
              </w:rPr>
              <w:t xml:space="preserve"> </w:t>
            </w:r>
            <w:proofErr w:type="spellStart"/>
            <w:r w:rsidRPr="005203CE">
              <w:rPr>
                <w:rFonts w:ascii="inherit" w:eastAsia="Times New Roman" w:hAnsi="inherit" w:cs="Times New Roman"/>
                <w:i/>
                <w:iCs/>
                <w:color w:val="000000"/>
                <w:szCs w:val="24"/>
                <w:lang w:eastAsia="hr-HR"/>
              </w:rPr>
              <w:t>Xylene</w:t>
            </w:r>
            <w:proofErr w:type="spellEnd"/>
            <w:r w:rsidRPr="005203CE">
              <w:rPr>
                <w:rFonts w:ascii="inherit" w:eastAsia="Times New Roman" w:hAnsi="inherit" w:cs="Times New Roman"/>
                <w:color w:val="000000"/>
                <w:szCs w:val="24"/>
                <w:lang w:eastAsia="hr-HR"/>
              </w:rPr>
              <w:t>)</w:t>
            </w:r>
          </w:p>
        </w:tc>
      </w:tr>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CEN</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Europski odbor za normizaciju</w:t>
            </w:r>
          </w:p>
        </w:tc>
      </w:tr>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C&amp;L</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razvrstavanje i označivanje (</w:t>
            </w:r>
            <w:proofErr w:type="spellStart"/>
            <w:r w:rsidRPr="005203CE">
              <w:rPr>
                <w:rFonts w:ascii="inherit" w:eastAsia="Times New Roman" w:hAnsi="inherit" w:cs="Times New Roman"/>
                <w:color w:val="000000"/>
                <w:szCs w:val="24"/>
                <w:lang w:eastAsia="hr-HR"/>
              </w:rPr>
              <w:t>eng</w:t>
            </w:r>
            <w:proofErr w:type="spellEnd"/>
            <w:r w:rsidRPr="005203CE">
              <w:rPr>
                <w:rFonts w:ascii="inherit" w:eastAsia="Times New Roman" w:hAnsi="inherit" w:cs="Times New Roman"/>
                <w:color w:val="000000"/>
                <w:szCs w:val="24"/>
                <w:lang w:eastAsia="hr-HR"/>
              </w:rPr>
              <w:t>. </w:t>
            </w:r>
            <w:proofErr w:type="spellStart"/>
            <w:r w:rsidRPr="005203CE">
              <w:rPr>
                <w:rFonts w:ascii="inherit" w:eastAsia="Times New Roman" w:hAnsi="inherit" w:cs="Times New Roman"/>
                <w:i/>
                <w:iCs/>
                <w:color w:val="000000"/>
                <w:szCs w:val="24"/>
                <w:lang w:eastAsia="hr-HR"/>
              </w:rPr>
              <w:t>Classification</w:t>
            </w:r>
            <w:proofErr w:type="spellEnd"/>
            <w:r w:rsidRPr="005203CE">
              <w:rPr>
                <w:rFonts w:ascii="inherit" w:eastAsia="Times New Roman" w:hAnsi="inherit" w:cs="Times New Roman"/>
                <w:i/>
                <w:iCs/>
                <w:color w:val="000000"/>
                <w:szCs w:val="24"/>
                <w:lang w:eastAsia="hr-HR"/>
              </w:rPr>
              <w:t xml:space="preserve"> &amp; </w:t>
            </w:r>
            <w:proofErr w:type="spellStart"/>
            <w:r w:rsidRPr="005203CE">
              <w:rPr>
                <w:rFonts w:ascii="inherit" w:eastAsia="Times New Roman" w:hAnsi="inherit" w:cs="Times New Roman"/>
                <w:i/>
                <w:iCs/>
                <w:color w:val="000000"/>
                <w:szCs w:val="24"/>
                <w:lang w:eastAsia="hr-HR"/>
              </w:rPr>
              <w:t>Labelling</w:t>
            </w:r>
            <w:proofErr w:type="spellEnd"/>
            <w:r w:rsidRPr="005203CE">
              <w:rPr>
                <w:rFonts w:ascii="inherit" w:eastAsia="Times New Roman" w:hAnsi="inherit" w:cs="Times New Roman"/>
                <w:color w:val="000000"/>
                <w:szCs w:val="24"/>
                <w:lang w:eastAsia="hr-HR"/>
              </w:rPr>
              <w:t>)</w:t>
            </w:r>
          </w:p>
        </w:tc>
      </w:tr>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CLP</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razvrstavanje, označivanje i pakiranje (</w:t>
            </w:r>
            <w:proofErr w:type="spellStart"/>
            <w:r w:rsidRPr="005203CE">
              <w:rPr>
                <w:rFonts w:ascii="inherit" w:eastAsia="Times New Roman" w:hAnsi="inherit" w:cs="Times New Roman"/>
                <w:color w:val="000000"/>
                <w:szCs w:val="24"/>
                <w:lang w:eastAsia="hr-HR"/>
              </w:rPr>
              <w:t>eng</w:t>
            </w:r>
            <w:proofErr w:type="spellEnd"/>
            <w:r w:rsidRPr="005203CE">
              <w:rPr>
                <w:rFonts w:ascii="inherit" w:eastAsia="Times New Roman" w:hAnsi="inherit" w:cs="Times New Roman"/>
                <w:color w:val="000000"/>
                <w:szCs w:val="24"/>
                <w:lang w:eastAsia="hr-HR"/>
              </w:rPr>
              <w:t>. </w:t>
            </w:r>
            <w:proofErr w:type="spellStart"/>
            <w:r w:rsidRPr="005203CE">
              <w:rPr>
                <w:rFonts w:ascii="inherit" w:eastAsia="Times New Roman" w:hAnsi="inherit" w:cs="Times New Roman"/>
                <w:i/>
                <w:iCs/>
                <w:color w:val="000000"/>
                <w:szCs w:val="24"/>
                <w:lang w:eastAsia="hr-HR"/>
              </w:rPr>
              <w:t>Classification</w:t>
            </w:r>
            <w:proofErr w:type="spellEnd"/>
            <w:r w:rsidRPr="005203CE">
              <w:rPr>
                <w:rFonts w:ascii="inherit" w:eastAsia="Times New Roman" w:hAnsi="inherit" w:cs="Times New Roman"/>
                <w:i/>
                <w:iCs/>
                <w:color w:val="000000"/>
                <w:szCs w:val="24"/>
                <w:lang w:eastAsia="hr-HR"/>
              </w:rPr>
              <w:t xml:space="preserve">, </w:t>
            </w:r>
            <w:proofErr w:type="spellStart"/>
            <w:r w:rsidRPr="005203CE">
              <w:rPr>
                <w:rFonts w:ascii="inherit" w:eastAsia="Times New Roman" w:hAnsi="inherit" w:cs="Times New Roman"/>
                <w:i/>
                <w:iCs/>
                <w:color w:val="000000"/>
                <w:szCs w:val="24"/>
                <w:lang w:eastAsia="hr-HR"/>
              </w:rPr>
              <w:t>Labelling</w:t>
            </w:r>
            <w:proofErr w:type="spellEnd"/>
            <w:r w:rsidRPr="005203CE">
              <w:rPr>
                <w:rFonts w:ascii="inherit" w:eastAsia="Times New Roman" w:hAnsi="inherit" w:cs="Times New Roman"/>
                <w:i/>
                <w:iCs/>
                <w:color w:val="000000"/>
                <w:szCs w:val="24"/>
                <w:lang w:eastAsia="hr-HR"/>
              </w:rPr>
              <w:t xml:space="preserve"> </w:t>
            </w:r>
            <w:proofErr w:type="spellStart"/>
            <w:r w:rsidRPr="005203CE">
              <w:rPr>
                <w:rFonts w:ascii="inherit" w:eastAsia="Times New Roman" w:hAnsi="inherit" w:cs="Times New Roman"/>
                <w:i/>
                <w:iCs/>
                <w:color w:val="000000"/>
                <w:szCs w:val="24"/>
                <w:lang w:eastAsia="hr-HR"/>
              </w:rPr>
              <w:t>and</w:t>
            </w:r>
            <w:proofErr w:type="spellEnd"/>
            <w:r w:rsidRPr="005203CE">
              <w:rPr>
                <w:rFonts w:ascii="inherit" w:eastAsia="Times New Roman" w:hAnsi="inherit" w:cs="Times New Roman"/>
                <w:i/>
                <w:iCs/>
                <w:color w:val="000000"/>
                <w:szCs w:val="24"/>
                <w:lang w:eastAsia="hr-HR"/>
              </w:rPr>
              <w:t xml:space="preserve"> </w:t>
            </w:r>
            <w:proofErr w:type="spellStart"/>
            <w:r w:rsidRPr="005203CE">
              <w:rPr>
                <w:rFonts w:ascii="inherit" w:eastAsia="Times New Roman" w:hAnsi="inherit" w:cs="Times New Roman"/>
                <w:i/>
                <w:iCs/>
                <w:color w:val="000000"/>
                <w:szCs w:val="24"/>
                <w:lang w:eastAsia="hr-HR"/>
              </w:rPr>
              <w:t>Packaging</w:t>
            </w:r>
            <w:proofErr w:type="spellEnd"/>
            <w:r w:rsidRPr="005203CE">
              <w:rPr>
                <w:rFonts w:ascii="inherit" w:eastAsia="Times New Roman" w:hAnsi="inherit" w:cs="Times New Roman"/>
                <w:color w:val="000000"/>
                <w:szCs w:val="24"/>
                <w:lang w:eastAsia="hr-HR"/>
              </w:rPr>
              <w:t>)</w:t>
            </w:r>
          </w:p>
        </w:tc>
      </w:tr>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CLRTAP</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Konvencija o dalekosežnom prekograničnom onečišćenju zraka (</w:t>
            </w:r>
            <w:proofErr w:type="spellStart"/>
            <w:r w:rsidRPr="005203CE">
              <w:rPr>
                <w:rFonts w:ascii="inherit" w:eastAsia="Times New Roman" w:hAnsi="inherit" w:cs="Times New Roman"/>
                <w:color w:val="000000"/>
                <w:szCs w:val="24"/>
                <w:lang w:eastAsia="hr-HR"/>
              </w:rPr>
              <w:t>eng</w:t>
            </w:r>
            <w:proofErr w:type="spellEnd"/>
            <w:r w:rsidRPr="005203CE">
              <w:rPr>
                <w:rFonts w:ascii="inherit" w:eastAsia="Times New Roman" w:hAnsi="inherit" w:cs="Times New Roman"/>
                <w:color w:val="000000"/>
                <w:szCs w:val="24"/>
                <w:lang w:eastAsia="hr-HR"/>
              </w:rPr>
              <w:t>. </w:t>
            </w:r>
            <w:proofErr w:type="spellStart"/>
            <w:r w:rsidRPr="005203CE">
              <w:rPr>
                <w:rFonts w:ascii="inherit" w:eastAsia="Times New Roman" w:hAnsi="inherit" w:cs="Times New Roman"/>
                <w:i/>
                <w:iCs/>
                <w:color w:val="000000"/>
                <w:szCs w:val="24"/>
                <w:lang w:eastAsia="hr-HR"/>
              </w:rPr>
              <w:t>Convention</w:t>
            </w:r>
            <w:proofErr w:type="spellEnd"/>
            <w:r w:rsidRPr="005203CE">
              <w:rPr>
                <w:rFonts w:ascii="inherit" w:eastAsia="Times New Roman" w:hAnsi="inherit" w:cs="Times New Roman"/>
                <w:i/>
                <w:iCs/>
                <w:color w:val="000000"/>
                <w:szCs w:val="24"/>
                <w:lang w:eastAsia="hr-HR"/>
              </w:rPr>
              <w:t xml:space="preserve"> on </w:t>
            </w:r>
            <w:proofErr w:type="spellStart"/>
            <w:r w:rsidRPr="005203CE">
              <w:rPr>
                <w:rFonts w:ascii="inherit" w:eastAsia="Times New Roman" w:hAnsi="inherit" w:cs="Times New Roman"/>
                <w:i/>
                <w:iCs/>
                <w:color w:val="000000"/>
                <w:szCs w:val="24"/>
                <w:lang w:eastAsia="hr-HR"/>
              </w:rPr>
              <w:t>Long-Range</w:t>
            </w:r>
            <w:proofErr w:type="spellEnd"/>
            <w:r w:rsidRPr="005203CE">
              <w:rPr>
                <w:rFonts w:ascii="inherit" w:eastAsia="Times New Roman" w:hAnsi="inherit" w:cs="Times New Roman"/>
                <w:i/>
                <w:iCs/>
                <w:color w:val="000000"/>
                <w:szCs w:val="24"/>
                <w:lang w:eastAsia="hr-HR"/>
              </w:rPr>
              <w:t xml:space="preserve"> </w:t>
            </w:r>
            <w:proofErr w:type="spellStart"/>
            <w:r w:rsidRPr="005203CE">
              <w:rPr>
                <w:rFonts w:ascii="inherit" w:eastAsia="Times New Roman" w:hAnsi="inherit" w:cs="Times New Roman"/>
                <w:i/>
                <w:iCs/>
                <w:color w:val="000000"/>
                <w:szCs w:val="24"/>
                <w:lang w:eastAsia="hr-HR"/>
              </w:rPr>
              <w:t>Transboundary</w:t>
            </w:r>
            <w:proofErr w:type="spellEnd"/>
            <w:r w:rsidRPr="005203CE">
              <w:rPr>
                <w:rFonts w:ascii="inherit" w:eastAsia="Times New Roman" w:hAnsi="inherit" w:cs="Times New Roman"/>
                <w:i/>
                <w:iCs/>
                <w:color w:val="000000"/>
                <w:szCs w:val="24"/>
                <w:lang w:eastAsia="hr-HR"/>
              </w:rPr>
              <w:t xml:space="preserve"> Air </w:t>
            </w:r>
            <w:proofErr w:type="spellStart"/>
            <w:r w:rsidRPr="005203CE">
              <w:rPr>
                <w:rFonts w:ascii="inherit" w:eastAsia="Times New Roman" w:hAnsi="inherit" w:cs="Times New Roman"/>
                <w:i/>
                <w:iCs/>
                <w:color w:val="000000"/>
                <w:szCs w:val="24"/>
                <w:lang w:eastAsia="hr-HR"/>
              </w:rPr>
              <w:t>Pollution</w:t>
            </w:r>
            <w:proofErr w:type="spellEnd"/>
            <w:r w:rsidRPr="005203CE">
              <w:rPr>
                <w:rFonts w:ascii="inherit" w:eastAsia="Times New Roman" w:hAnsi="inherit" w:cs="Times New Roman"/>
                <w:color w:val="000000"/>
                <w:szCs w:val="24"/>
                <w:lang w:eastAsia="hr-HR"/>
              </w:rPr>
              <w:t>)</w:t>
            </w:r>
          </w:p>
        </w:tc>
      </w:tr>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ECHA</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Europska agencija za kemikalije (</w:t>
            </w:r>
            <w:proofErr w:type="spellStart"/>
            <w:r w:rsidRPr="005203CE">
              <w:rPr>
                <w:rFonts w:ascii="inherit" w:eastAsia="Times New Roman" w:hAnsi="inherit" w:cs="Times New Roman"/>
                <w:color w:val="000000"/>
                <w:szCs w:val="24"/>
                <w:lang w:eastAsia="hr-HR"/>
              </w:rPr>
              <w:t>eng</w:t>
            </w:r>
            <w:proofErr w:type="spellEnd"/>
            <w:r w:rsidRPr="005203CE">
              <w:rPr>
                <w:rFonts w:ascii="inherit" w:eastAsia="Times New Roman" w:hAnsi="inherit" w:cs="Times New Roman"/>
                <w:color w:val="000000"/>
                <w:szCs w:val="24"/>
                <w:lang w:eastAsia="hr-HR"/>
              </w:rPr>
              <w:t>. </w:t>
            </w:r>
            <w:r w:rsidRPr="005203CE">
              <w:rPr>
                <w:rFonts w:ascii="inherit" w:eastAsia="Times New Roman" w:hAnsi="inherit" w:cs="Times New Roman"/>
                <w:i/>
                <w:iCs/>
                <w:color w:val="000000"/>
                <w:szCs w:val="24"/>
                <w:lang w:eastAsia="hr-HR"/>
              </w:rPr>
              <w:t xml:space="preserve">European </w:t>
            </w:r>
            <w:proofErr w:type="spellStart"/>
            <w:r w:rsidRPr="005203CE">
              <w:rPr>
                <w:rFonts w:ascii="inherit" w:eastAsia="Times New Roman" w:hAnsi="inherit" w:cs="Times New Roman"/>
                <w:i/>
                <w:iCs/>
                <w:color w:val="000000"/>
                <w:szCs w:val="24"/>
                <w:lang w:eastAsia="hr-HR"/>
              </w:rPr>
              <w:t>Chemicals</w:t>
            </w:r>
            <w:proofErr w:type="spellEnd"/>
            <w:r w:rsidRPr="005203CE">
              <w:rPr>
                <w:rFonts w:ascii="inherit" w:eastAsia="Times New Roman" w:hAnsi="inherit" w:cs="Times New Roman"/>
                <w:i/>
                <w:iCs/>
                <w:color w:val="000000"/>
                <w:szCs w:val="24"/>
                <w:lang w:eastAsia="hr-HR"/>
              </w:rPr>
              <w:t xml:space="preserve"> </w:t>
            </w:r>
            <w:proofErr w:type="spellStart"/>
            <w:r w:rsidRPr="005203CE">
              <w:rPr>
                <w:rFonts w:ascii="inherit" w:eastAsia="Times New Roman" w:hAnsi="inherit" w:cs="Times New Roman"/>
                <w:i/>
                <w:iCs/>
                <w:color w:val="000000"/>
                <w:szCs w:val="24"/>
                <w:lang w:eastAsia="hr-HR"/>
              </w:rPr>
              <w:t>Agency</w:t>
            </w:r>
            <w:proofErr w:type="spellEnd"/>
            <w:r w:rsidRPr="005203CE">
              <w:rPr>
                <w:rFonts w:ascii="inherit" w:eastAsia="Times New Roman" w:hAnsi="inherit" w:cs="Times New Roman"/>
                <w:color w:val="000000"/>
                <w:szCs w:val="24"/>
                <w:lang w:eastAsia="hr-HR"/>
              </w:rPr>
              <w:t>)</w:t>
            </w:r>
          </w:p>
        </w:tc>
      </w:tr>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EEA</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Europska agencija za okoliš (</w:t>
            </w:r>
            <w:proofErr w:type="spellStart"/>
            <w:r w:rsidRPr="005203CE">
              <w:rPr>
                <w:rFonts w:ascii="inherit" w:eastAsia="Times New Roman" w:hAnsi="inherit" w:cs="Times New Roman"/>
                <w:color w:val="000000"/>
                <w:szCs w:val="24"/>
                <w:lang w:eastAsia="hr-HR"/>
              </w:rPr>
              <w:t>eng</w:t>
            </w:r>
            <w:proofErr w:type="spellEnd"/>
            <w:r w:rsidRPr="005203CE">
              <w:rPr>
                <w:rFonts w:ascii="inherit" w:eastAsia="Times New Roman" w:hAnsi="inherit" w:cs="Times New Roman"/>
                <w:color w:val="000000"/>
                <w:szCs w:val="24"/>
                <w:lang w:eastAsia="hr-HR"/>
              </w:rPr>
              <w:t>. </w:t>
            </w:r>
            <w:r w:rsidRPr="005203CE">
              <w:rPr>
                <w:rFonts w:ascii="inherit" w:eastAsia="Times New Roman" w:hAnsi="inherit" w:cs="Times New Roman"/>
                <w:i/>
                <w:iCs/>
                <w:color w:val="000000"/>
                <w:szCs w:val="24"/>
                <w:lang w:eastAsia="hr-HR"/>
              </w:rPr>
              <w:t xml:space="preserve">European </w:t>
            </w:r>
            <w:proofErr w:type="spellStart"/>
            <w:r w:rsidRPr="005203CE">
              <w:rPr>
                <w:rFonts w:ascii="inherit" w:eastAsia="Times New Roman" w:hAnsi="inherit" w:cs="Times New Roman"/>
                <w:i/>
                <w:iCs/>
                <w:color w:val="000000"/>
                <w:szCs w:val="24"/>
                <w:lang w:eastAsia="hr-HR"/>
              </w:rPr>
              <w:t>Environmental</w:t>
            </w:r>
            <w:proofErr w:type="spellEnd"/>
            <w:r w:rsidRPr="005203CE">
              <w:rPr>
                <w:rFonts w:ascii="inherit" w:eastAsia="Times New Roman" w:hAnsi="inherit" w:cs="Times New Roman"/>
                <w:i/>
                <w:iCs/>
                <w:color w:val="000000"/>
                <w:szCs w:val="24"/>
                <w:lang w:eastAsia="hr-HR"/>
              </w:rPr>
              <w:t xml:space="preserve"> </w:t>
            </w:r>
            <w:proofErr w:type="spellStart"/>
            <w:r w:rsidRPr="005203CE">
              <w:rPr>
                <w:rFonts w:ascii="inherit" w:eastAsia="Times New Roman" w:hAnsi="inherit" w:cs="Times New Roman"/>
                <w:i/>
                <w:iCs/>
                <w:color w:val="000000"/>
                <w:szCs w:val="24"/>
                <w:lang w:eastAsia="hr-HR"/>
              </w:rPr>
              <w:t>Agency</w:t>
            </w:r>
            <w:proofErr w:type="spellEnd"/>
            <w:r w:rsidRPr="005203CE">
              <w:rPr>
                <w:rFonts w:ascii="inherit" w:eastAsia="Times New Roman" w:hAnsi="inherit" w:cs="Times New Roman"/>
                <w:color w:val="000000"/>
                <w:szCs w:val="24"/>
                <w:lang w:eastAsia="hr-HR"/>
              </w:rPr>
              <w:t>)</w:t>
            </w:r>
          </w:p>
        </w:tc>
      </w:tr>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ELV</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otpadna vozila (</w:t>
            </w:r>
            <w:proofErr w:type="spellStart"/>
            <w:r w:rsidRPr="005203CE">
              <w:rPr>
                <w:rFonts w:ascii="inherit" w:eastAsia="Times New Roman" w:hAnsi="inherit" w:cs="Times New Roman"/>
                <w:color w:val="000000"/>
                <w:szCs w:val="24"/>
                <w:lang w:eastAsia="hr-HR"/>
              </w:rPr>
              <w:t>eng</w:t>
            </w:r>
            <w:proofErr w:type="spellEnd"/>
            <w:r w:rsidRPr="005203CE">
              <w:rPr>
                <w:rFonts w:ascii="inherit" w:eastAsia="Times New Roman" w:hAnsi="inherit" w:cs="Times New Roman"/>
                <w:color w:val="000000"/>
                <w:szCs w:val="24"/>
                <w:lang w:eastAsia="hr-HR"/>
              </w:rPr>
              <w:t>. </w:t>
            </w:r>
            <w:proofErr w:type="spellStart"/>
            <w:r w:rsidRPr="005203CE">
              <w:rPr>
                <w:rFonts w:ascii="inherit" w:eastAsia="Times New Roman" w:hAnsi="inherit" w:cs="Times New Roman"/>
                <w:i/>
                <w:iCs/>
                <w:color w:val="000000"/>
                <w:szCs w:val="24"/>
                <w:lang w:eastAsia="hr-HR"/>
              </w:rPr>
              <w:t>end</w:t>
            </w:r>
            <w:proofErr w:type="spellEnd"/>
            <w:r w:rsidRPr="005203CE">
              <w:rPr>
                <w:rFonts w:ascii="inherit" w:eastAsia="Times New Roman" w:hAnsi="inherit" w:cs="Times New Roman"/>
                <w:i/>
                <w:iCs/>
                <w:color w:val="000000"/>
                <w:szCs w:val="24"/>
                <w:lang w:eastAsia="hr-HR"/>
              </w:rPr>
              <w:t>-</w:t>
            </w:r>
            <w:proofErr w:type="spellStart"/>
            <w:r w:rsidRPr="005203CE">
              <w:rPr>
                <w:rFonts w:ascii="inherit" w:eastAsia="Times New Roman" w:hAnsi="inherit" w:cs="Times New Roman"/>
                <w:i/>
                <w:iCs/>
                <w:color w:val="000000"/>
                <w:szCs w:val="24"/>
                <w:lang w:eastAsia="hr-HR"/>
              </w:rPr>
              <w:t>of</w:t>
            </w:r>
            <w:proofErr w:type="spellEnd"/>
            <w:r w:rsidRPr="005203CE">
              <w:rPr>
                <w:rFonts w:ascii="inherit" w:eastAsia="Times New Roman" w:hAnsi="inherit" w:cs="Times New Roman"/>
                <w:i/>
                <w:iCs/>
                <w:color w:val="000000"/>
                <w:szCs w:val="24"/>
                <w:lang w:eastAsia="hr-HR"/>
              </w:rPr>
              <w:t xml:space="preserve">-life </w:t>
            </w:r>
            <w:proofErr w:type="spellStart"/>
            <w:r w:rsidRPr="005203CE">
              <w:rPr>
                <w:rFonts w:ascii="inherit" w:eastAsia="Times New Roman" w:hAnsi="inherit" w:cs="Times New Roman"/>
                <w:i/>
                <w:iCs/>
                <w:color w:val="000000"/>
                <w:szCs w:val="24"/>
                <w:lang w:eastAsia="hr-HR"/>
              </w:rPr>
              <w:t>vehicles</w:t>
            </w:r>
            <w:proofErr w:type="spellEnd"/>
            <w:r w:rsidRPr="005203CE">
              <w:rPr>
                <w:rFonts w:ascii="inherit" w:eastAsia="Times New Roman" w:hAnsi="inherit" w:cs="Times New Roman"/>
                <w:color w:val="000000"/>
                <w:szCs w:val="24"/>
                <w:lang w:eastAsia="hr-HR"/>
              </w:rPr>
              <w:t>)</w:t>
            </w:r>
          </w:p>
        </w:tc>
      </w:tr>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GHS</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Globalno usklađeni sustav (</w:t>
            </w:r>
            <w:proofErr w:type="spellStart"/>
            <w:r w:rsidRPr="005203CE">
              <w:rPr>
                <w:rFonts w:ascii="inherit" w:eastAsia="Times New Roman" w:hAnsi="inherit" w:cs="Times New Roman"/>
                <w:color w:val="000000"/>
                <w:szCs w:val="24"/>
                <w:lang w:eastAsia="hr-HR"/>
              </w:rPr>
              <w:t>eng</w:t>
            </w:r>
            <w:proofErr w:type="spellEnd"/>
            <w:r w:rsidRPr="005203CE">
              <w:rPr>
                <w:rFonts w:ascii="inherit" w:eastAsia="Times New Roman" w:hAnsi="inherit" w:cs="Times New Roman"/>
                <w:color w:val="000000"/>
                <w:szCs w:val="24"/>
                <w:lang w:eastAsia="hr-HR"/>
              </w:rPr>
              <w:t>. </w:t>
            </w:r>
            <w:proofErr w:type="spellStart"/>
            <w:r w:rsidRPr="005203CE">
              <w:rPr>
                <w:rFonts w:ascii="inherit" w:eastAsia="Times New Roman" w:hAnsi="inherit" w:cs="Times New Roman"/>
                <w:i/>
                <w:iCs/>
                <w:color w:val="000000"/>
                <w:szCs w:val="24"/>
                <w:lang w:eastAsia="hr-HR"/>
              </w:rPr>
              <w:t>Globally</w:t>
            </w:r>
            <w:proofErr w:type="spellEnd"/>
            <w:r w:rsidRPr="005203CE">
              <w:rPr>
                <w:rFonts w:ascii="inherit" w:eastAsia="Times New Roman" w:hAnsi="inherit" w:cs="Times New Roman"/>
                <w:i/>
                <w:iCs/>
                <w:color w:val="000000"/>
                <w:szCs w:val="24"/>
                <w:lang w:eastAsia="hr-HR"/>
              </w:rPr>
              <w:t xml:space="preserve"> </w:t>
            </w:r>
            <w:proofErr w:type="spellStart"/>
            <w:r w:rsidRPr="005203CE">
              <w:rPr>
                <w:rFonts w:ascii="inherit" w:eastAsia="Times New Roman" w:hAnsi="inherit" w:cs="Times New Roman"/>
                <w:i/>
                <w:iCs/>
                <w:color w:val="000000"/>
                <w:szCs w:val="24"/>
                <w:lang w:eastAsia="hr-HR"/>
              </w:rPr>
              <w:t>Harmonised</w:t>
            </w:r>
            <w:proofErr w:type="spellEnd"/>
            <w:r w:rsidRPr="005203CE">
              <w:rPr>
                <w:rFonts w:ascii="inherit" w:eastAsia="Times New Roman" w:hAnsi="inherit" w:cs="Times New Roman"/>
                <w:i/>
                <w:iCs/>
                <w:color w:val="000000"/>
                <w:szCs w:val="24"/>
                <w:lang w:eastAsia="hr-HR"/>
              </w:rPr>
              <w:t xml:space="preserve"> System</w:t>
            </w:r>
            <w:r w:rsidRPr="005203CE">
              <w:rPr>
                <w:rFonts w:ascii="inherit" w:eastAsia="Times New Roman" w:hAnsi="inherit" w:cs="Times New Roman"/>
                <w:color w:val="000000"/>
                <w:szCs w:val="24"/>
                <w:lang w:eastAsia="hr-HR"/>
              </w:rPr>
              <w:t>)</w:t>
            </w:r>
          </w:p>
        </w:tc>
      </w:tr>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ODS</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tvari koje oštećuju ozonski sloj (</w:t>
            </w:r>
            <w:proofErr w:type="spellStart"/>
            <w:r w:rsidRPr="005203CE">
              <w:rPr>
                <w:rFonts w:ascii="inherit" w:eastAsia="Times New Roman" w:hAnsi="inherit" w:cs="Times New Roman"/>
                <w:color w:val="000000"/>
                <w:szCs w:val="24"/>
                <w:lang w:eastAsia="hr-HR"/>
              </w:rPr>
              <w:t>eng</w:t>
            </w:r>
            <w:proofErr w:type="spellEnd"/>
            <w:r w:rsidRPr="005203CE">
              <w:rPr>
                <w:rFonts w:ascii="inherit" w:eastAsia="Times New Roman" w:hAnsi="inherit" w:cs="Times New Roman"/>
                <w:color w:val="000000"/>
                <w:szCs w:val="24"/>
                <w:lang w:eastAsia="hr-HR"/>
              </w:rPr>
              <w:t>. </w:t>
            </w:r>
            <w:r w:rsidRPr="005203CE">
              <w:rPr>
                <w:rFonts w:ascii="inherit" w:eastAsia="Times New Roman" w:hAnsi="inherit" w:cs="Times New Roman"/>
                <w:i/>
                <w:iCs/>
                <w:color w:val="000000"/>
                <w:szCs w:val="24"/>
                <w:lang w:eastAsia="hr-HR"/>
              </w:rPr>
              <w:t xml:space="preserve">ozone </w:t>
            </w:r>
            <w:proofErr w:type="spellStart"/>
            <w:r w:rsidRPr="005203CE">
              <w:rPr>
                <w:rFonts w:ascii="inherit" w:eastAsia="Times New Roman" w:hAnsi="inherit" w:cs="Times New Roman"/>
                <w:i/>
                <w:iCs/>
                <w:color w:val="000000"/>
                <w:szCs w:val="24"/>
                <w:lang w:eastAsia="hr-HR"/>
              </w:rPr>
              <w:t>depleting</w:t>
            </w:r>
            <w:proofErr w:type="spellEnd"/>
            <w:r w:rsidRPr="005203CE">
              <w:rPr>
                <w:rFonts w:ascii="inherit" w:eastAsia="Times New Roman" w:hAnsi="inherit" w:cs="Times New Roman"/>
                <w:i/>
                <w:iCs/>
                <w:color w:val="000000"/>
                <w:szCs w:val="24"/>
                <w:lang w:eastAsia="hr-HR"/>
              </w:rPr>
              <w:t xml:space="preserve"> </w:t>
            </w:r>
            <w:proofErr w:type="spellStart"/>
            <w:r w:rsidRPr="005203CE">
              <w:rPr>
                <w:rFonts w:ascii="inherit" w:eastAsia="Times New Roman" w:hAnsi="inherit" w:cs="Times New Roman"/>
                <w:i/>
                <w:iCs/>
                <w:color w:val="000000"/>
                <w:szCs w:val="24"/>
                <w:lang w:eastAsia="hr-HR"/>
              </w:rPr>
              <w:t>substances</w:t>
            </w:r>
            <w:proofErr w:type="spellEnd"/>
            <w:r w:rsidRPr="005203CE">
              <w:rPr>
                <w:rFonts w:ascii="inherit" w:eastAsia="Times New Roman" w:hAnsi="inherit" w:cs="Times New Roman"/>
                <w:color w:val="000000"/>
                <w:szCs w:val="24"/>
                <w:lang w:eastAsia="hr-HR"/>
              </w:rPr>
              <w:t>)</w:t>
            </w:r>
          </w:p>
        </w:tc>
      </w:tr>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PAH</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proofErr w:type="spellStart"/>
            <w:r w:rsidRPr="005203CE">
              <w:rPr>
                <w:rFonts w:ascii="inherit" w:eastAsia="Times New Roman" w:hAnsi="inherit" w:cs="Times New Roman"/>
                <w:color w:val="000000"/>
                <w:szCs w:val="24"/>
                <w:lang w:eastAsia="hr-HR"/>
              </w:rPr>
              <w:t>policiklički</w:t>
            </w:r>
            <w:proofErr w:type="spellEnd"/>
            <w:r w:rsidRPr="005203CE">
              <w:rPr>
                <w:rFonts w:ascii="inherit" w:eastAsia="Times New Roman" w:hAnsi="inherit" w:cs="Times New Roman"/>
                <w:color w:val="000000"/>
                <w:szCs w:val="24"/>
                <w:lang w:eastAsia="hr-HR"/>
              </w:rPr>
              <w:t xml:space="preserve"> aromatski ugljikovodici (</w:t>
            </w:r>
            <w:proofErr w:type="spellStart"/>
            <w:r w:rsidRPr="005203CE">
              <w:rPr>
                <w:rFonts w:ascii="inherit" w:eastAsia="Times New Roman" w:hAnsi="inherit" w:cs="Times New Roman"/>
                <w:color w:val="000000"/>
                <w:szCs w:val="24"/>
                <w:lang w:eastAsia="hr-HR"/>
              </w:rPr>
              <w:t>eng</w:t>
            </w:r>
            <w:proofErr w:type="spellEnd"/>
            <w:r w:rsidRPr="005203CE">
              <w:rPr>
                <w:rFonts w:ascii="inherit" w:eastAsia="Times New Roman" w:hAnsi="inherit" w:cs="Times New Roman"/>
                <w:color w:val="000000"/>
                <w:szCs w:val="24"/>
                <w:lang w:eastAsia="hr-HR"/>
              </w:rPr>
              <w:t>. </w:t>
            </w:r>
            <w:proofErr w:type="spellStart"/>
            <w:r w:rsidRPr="005203CE">
              <w:rPr>
                <w:rFonts w:ascii="inherit" w:eastAsia="Times New Roman" w:hAnsi="inherit" w:cs="Times New Roman"/>
                <w:i/>
                <w:iCs/>
                <w:color w:val="000000"/>
                <w:szCs w:val="24"/>
                <w:lang w:eastAsia="hr-HR"/>
              </w:rPr>
              <w:t>Polycyclic</w:t>
            </w:r>
            <w:proofErr w:type="spellEnd"/>
            <w:r w:rsidRPr="005203CE">
              <w:rPr>
                <w:rFonts w:ascii="inherit" w:eastAsia="Times New Roman" w:hAnsi="inherit" w:cs="Times New Roman"/>
                <w:i/>
                <w:iCs/>
                <w:color w:val="000000"/>
                <w:szCs w:val="24"/>
                <w:lang w:eastAsia="hr-HR"/>
              </w:rPr>
              <w:t xml:space="preserve"> </w:t>
            </w:r>
            <w:proofErr w:type="spellStart"/>
            <w:r w:rsidRPr="005203CE">
              <w:rPr>
                <w:rFonts w:ascii="inherit" w:eastAsia="Times New Roman" w:hAnsi="inherit" w:cs="Times New Roman"/>
                <w:i/>
                <w:iCs/>
                <w:color w:val="000000"/>
                <w:szCs w:val="24"/>
                <w:lang w:eastAsia="hr-HR"/>
              </w:rPr>
              <w:t>Aromatic</w:t>
            </w:r>
            <w:proofErr w:type="spellEnd"/>
            <w:r w:rsidRPr="005203CE">
              <w:rPr>
                <w:rFonts w:ascii="inherit" w:eastAsia="Times New Roman" w:hAnsi="inherit" w:cs="Times New Roman"/>
                <w:i/>
                <w:iCs/>
                <w:color w:val="000000"/>
                <w:szCs w:val="24"/>
                <w:lang w:eastAsia="hr-HR"/>
              </w:rPr>
              <w:t xml:space="preserve"> </w:t>
            </w:r>
            <w:proofErr w:type="spellStart"/>
            <w:r w:rsidRPr="005203CE">
              <w:rPr>
                <w:rFonts w:ascii="inherit" w:eastAsia="Times New Roman" w:hAnsi="inherit" w:cs="Times New Roman"/>
                <w:i/>
                <w:iCs/>
                <w:color w:val="000000"/>
                <w:szCs w:val="24"/>
                <w:lang w:eastAsia="hr-HR"/>
              </w:rPr>
              <w:t>Hydrocarbons</w:t>
            </w:r>
            <w:proofErr w:type="spellEnd"/>
            <w:r w:rsidRPr="005203CE">
              <w:rPr>
                <w:rFonts w:ascii="inherit" w:eastAsia="Times New Roman" w:hAnsi="inherit" w:cs="Times New Roman"/>
                <w:color w:val="000000"/>
                <w:szCs w:val="24"/>
                <w:lang w:eastAsia="hr-HR"/>
              </w:rPr>
              <w:t>)</w:t>
            </w:r>
          </w:p>
        </w:tc>
      </w:tr>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POP</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postojana organska onečišćujuća tvar (</w:t>
            </w:r>
            <w:proofErr w:type="spellStart"/>
            <w:r w:rsidRPr="005203CE">
              <w:rPr>
                <w:rFonts w:ascii="inherit" w:eastAsia="Times New Roman" w:hAnsi="inherit" w:cs="Times New Roman"/>
                <w:color w:val="000000"/>
                <w:szCs w:val="24"/>
                <w:lang w:eastAsia="hr-HR"/>
              </w:rPr>
              <w:t>eng</w:t>
            </w:r>
            <w:proofErr w:type="spellEnd"/>
            <w:r w:rsidRPr="005203CE">
              <w:rPr>
                <w:rFonts w:ascii="inherit" w:eastAsia="Times New Roman" w:hAnsi="inherit" w:cs="Times New Roman"/>
                <w:color w:val="000000"/>
                <w:szCs w:val="24"/>
                <w:lang w:eastAsia="hr-HR"/>
              </w:rPr>
              <w:t>. </w:t>
            </w:r>
            <w:proofErr w:type="spellStart"/>
            <w:r w:rsidRPr="005203CE">
              <w:rPr>
                <w:rFonts w:ascii="inherit" w:eastAsia="Times New Roman" w:hAnsi="inherit" w:cs="Times New Roman"/>
                <w:i/>
                <w:iCs/>
                <w:color w:val="000000"/>
                <w:szCs w:val="24"/>
                <w:lang w:eastAsia="hr-HR"/>
              </w:rPr>
              <w:t>persistent</w:t>
            </w:r>
            <w:proofErr w:type="spellEnd"/>
            <w:r w:rsidRPr="005203CE">
              <w:rPr>
                <w:rFonts w:ascii="inherit" w:eastAsia="Times New Roman" w:hAnsi="inherit" w:cs="Times New Roman"/>
                <w:i/>
                <w:iCs/>
                <w:color w:val="000000"/>
                <w:szCs w:val="24"/>
                <w:lang w:eastAsia="hr-HR"/>
              </w:rPr>
              <w:t xml:space="preserve"> </w:t>
            </w:r>
            <w:proofErr w:type="spellStart"/>
            <w:r w:rsidRPr="005203CE">
              <w:rPr>
                <w:rFonts w:ascii="inherit" w:eastAsia="Times New Roman" w:hAnsi="inherit" w:cs="Times New Roman"/>
                <w:i/>
                <w:iCs/>
                <w:color w:val="000000"/>
                <w:szCs w:val="24"/>
                <w:lang w:eastAsia="hr-HR"/>
              </w:rPr>
              <w:t>organic</w:t>
            </w:r>
            <w:proofErr w:type="spellEnd"/>
            <w:r w:rsidRPr="005203CE">
              <w:rPr>
                <w:rFonts w:ascii="inherit" w:eastAsia="Times New Roman" w:hAnsi="inherit" w:cs="Times New Roman"/>
                <w:i/>
                <w:iCs/>
                <w:color w:val="000000"/>
                <w:szCs w:val="24"/>
                <w:lang w:eastAsia="hr-HR"/>
              </w:rPr>
              <w:t xml:space="preserve"> </w:t>
            </w:r>
            <w:proofErr w:type="spellStart"/>
            <w:r w:rsidRPr="005203CE">
              <w:rPr>
                <w:rFonts w:ascii="inherit" w:eastAsia="Times New Roman" w:hAnsi="inherit" w:cs="Times New Roman"/>
                <w:i/>
                <w:iCs/>
                <w:color w:val="000000"/>
                <w:szCs w:val="24"/>
                <w:lang w:eastAsia="hr-HR"/>
              </w:rPr>
              <w:t>pollutant</w:t>
            </w:r>
            <w:proofErr w:type="spellEnd"/>
            <w:r w:rsidRPr="005203CE">
              <w:rPr>
                <w:rFonts w:ascii="inherit" w:eastAsia="Times New Roman" w:hAnsi="inherit" w:cs="Times New Roman"/>
                <w:color w:val="000000"/>
                <w:szCs w:val="24"/>
                <w:lang w:eastAsia="hr-HR"/>
              </w:rPr>
              <w:t>)</w:t>
            </w:r>
          </w:p>
        </w:tc>
      </w:tr>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SDS</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sigurnosno-tehnički list (</w:t>
            </w:r>
            <w:proofErr w:type="spellStart"/>
            <w:r w:rsidRPr="005203CE">
              <w:rPr>
                <w:rFonts w:ascii="inherit" w:eastAsia="Times New Roman" w:hAnsi="inherit" w:cs="Times New Roman"/>
                <w:color w:val="000000"/>
                <w:szCs w:val="24"/>
                <w:lang w:eastAsia="hr-HR"/>
              </w:rPr>
              <w:t>eng</w:t>
            </w:r>
            <w:proofErr w:type="spellEnd"/>
            <w:r w:rsidRPr="005203CE">
              <w:rPr>
                <w:rFonts w:ascii="inherit" w:eastAsia="Times New Roman" w:hAnsi="inherit" w:cs="Times New Roman"/>
                <w:color w:val="000000"/>
                <w:szCs w:val="24"/>
                <w:lang w:eastAsia="hr-HR"/>
              </w:rPr>
              <w:t>. </w:t>
            </w:r>
            <w:proofErr w:type="spellStart"/>
            <w:r w:rsidRPr="005203CE">
              <w:rPr>
                <w:rFonts w:ascii="inherit" w:eastAsia="Times New Roman" w:hAnsi="inherit" w:cs="Times New Roman"/>
                <w:i/>
                <w:iCs/>
                <w:color w:val="000000"/>
                <w:szCs w:val="24"/>
                <w:lang w:eastAsia="hr-HR"/>
              </w:rPr>
              <w:t>safety</w:t>
            </w:r>
            <w:proofErr w:type="spellEnd"/>
            <w:r w:rsidRPr="005203CE">
              <w:rPr>
                <w:rFonts w:ascii="inherit" w:eastAsia="Times New Roman" w:hAnsi="inherit" w:cs="Times New Roman"/>
                <w:i/>
                <w:iCs/>
                <w:color w:val="000000"/>
                <w:szCs w:val="24"/>
                <w:lang w:eastAsia="hr-HR"/>
              </w:rPr>
              <w:t xml:space="preserve"> data </w:t>
            </w:r>
            <w:proofErr w:type="spellStart"/>
            <w:r w:rsidRPr="005203CE">
              <w:rPr>
                <w:rFonts w:ascii="inherit" w:eastAsia="Times New Roman" w:hAnsi="inherit" w:cs="Times New Roman"/>
                <w:i/>
                <w:iCs/>
                <w:color w:val="000000"/>
                <w:szCs w:val="24"/>
                <w:lang w:eastAsia="hr-HR"/>
              </w:rPr>
              <w:t>sheet</w:t>
            </w:r>
            <w:proofErr w:type="spellEnd"/>
            <w:r w:rsidRPr="005203CE">
              <w:rPr>
                <w:rFonts w:ascii="inherit" w:eastAsia="Times New Roman" w:hAnsi="inherit" w:cs="Times New Roman"/>
                <w:color w:val="000000"/>
                <w:szCs w:val="24"/>
                <w:lang w:eastAsia="hr-HR"/>
              </w:rPr>
              <w:t>)</w:t>
            </w:r>
          </w:p>
        </w:tc>
      </w:tr>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UN</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Ujedinjeni narodi</w:t>
            </w:r>
          </w:p>
        </w:tc>
      </w:tr>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WAC</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kriteriji za prihvat otpada (</w:t>
            </w:r>
            <w:proofErr w:type="spellStart"/>
            <w:r w:rsidRPr="005203CE">
              <w:rPr>
                <w:rFonts w:ascii="inherit" w:eastAsia="Times New Roman" w:hAnsi="inherit" w:cs="Times New Roman"/>
                <w:color w:val="000000"/>
                <w:szCs w:val="24"/>
                <w:lang w:eastAsia="hr-HR"/>
              </w:rPr>
              <w:t>eng</w:t>
            </w:r>
            <w:proofErr w:type="spellEnd"/>
            <w:r w:rsidRPr="005203CE">
              <w:rPr>
                <w:rFonts w:ascii="inherit" w:eastAsia="Times New Roman" w:hAnsi="inherit" w:cs="Times New Roman"/>
                <w:color w:val="000000"/>
                <w:szCs w:val="24"/>
                <w:lang w:eastAsia="hr-HR"/>
              </w:rPr>
              <w:t>. </w:t>
            </w:r>
            <w:proofErr w:type="spellStart"/>
            <w:r w:rsidRPr="005203CE">
              <w:rPr>
                <w:rFonts w:ascii="inherit" w:eastAsia="Times New Roman" w:hAnsi="inherit" w:cs="Times New Roman"/>
                <w:i/>
                <w:iCs/>
                <w:color w:val="000000"/>
                <w:szCs w:val="24"/>
                <w:lang w:eastAsia="hr-HR"/>
              </w:rPr>
              <w:t>waste</w:t>
            </w:r>
            <w:proofErr w:type="spellEnd"/>
            <w:r w:rsidRPr="005203CE">
              <w:rPr>
                <w:rFonts w:ascii="inherit" w:eastAsia="Times New Roman" w:hAnsi="inherit" w:cs="Times New Roman"/>
                <w:i/>
                <w:iCs/>
                <w:color w:val="000000"/>
                <w:szCs w:val="24"/>
                <w:lang w:eastAsia="hr-HR"/>
              </w:rPr>
              <w:t xml:space="preserve"> </w:t>
            </w:r>
            <w:proofErr w:type="spellStart"/>
            <w:r w:rsidRPr="005203CE">
              <w:rPr>
                <w:rFonts w:ascii="inherit" w:eastAsia="Times New Roman" w:hAnsi="inherit" w:cs="Times New Roman"/>
                <w:i/>
                <w:iCs/>
                <w:color w:val="000000"/>
                <w:szCs w:val="24"/>
                <w:lang w:eastAsia="hr-HR"/>
              </w:rPr>
              <w:t>acceptance</w:t>
            </w:r>
            <w:proofErr w:type="spellEnd"/>
            <w:r w:rsidRPr="005203CE">
              <w:rPr>
                <w:rFonts w:ascii="inherit" w:eastAsia="Times New Roman" w:hAnsi="inherit" w:cs="Times New Roman"/>
                <w:i/>
                <w:iCs/>
                <w:color w:val="000000"/>
                <w:szCs w:val="24"/>
                <w:lang w:eastAsia="hr-HR"/>
              </w:rPr>
              <w:t xml:space="preserve"> </w:t>
            </w:r>
            <w:proofErr w:type="spellStart"/>
            <w:r w:rsidRPr="005203CE">
              <w:rPr>
                <w:rFonts w:ascii="inherit" w:eastAsia="Times New Roman" w:hAnsi="inherit" w:cs="Times New Roman"/>
                <w:i/>
                <w:iCs/>
                <w:color w:val="000000"/>
                <w:szCs w:val="24"/>
                <w:lang w:eastAsia="hr-HR"/>
              </w:rPr>
              <w:t>criteria</w:t>
            </w:r>
            <w:proofErr w:type="spellEnd"/>
            <w:r w:rsidRPr="005203CE">
              <w:rPr>
                <w:rFonts w:ascii="inherit" w:eastAsia="Times New Roman" w:hAnsi="inherit" w:cs="Times New Roman"/>
                <w:color w:val="000000"/>
                <w:szCs w:val="24"/>
                <w:lang w:eastAsia="hr-HR"/>
              </w:rPr>
              <w:t>)</w:t>
            </w:r>
          </w:p>
        </w:tc>
      </w:tr>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OEEO</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otpadna električna i elektronička oprema</w:t>
            </w:r>
          </w:p>
        </w:tc>
      </w:tr>
    </w:tbl>
    <w:p w:rsidR="005203CE" w:rsidRPr="005203CE" w:rsidRDefault="005203CE" w:rsidP="005203CE">
      <w:pPr>
        <w:spacing w:before="120" w:after="120" w:line="240" w:lineRule="auto"/>
        <w:jc w:val="center"/>
        <w:rPr>
          <w:rFonts w:eastAsia="Times New Roman" w:cs="Times New Roman"/>
          <w:color w:val="000000"/>
          <w:szCs w:val="24"/>
          <w:lang w:eastAsia="hr-HR"/>
        </w:rPr>
      </w:pPr>
      <w:r w:rsidRPr="005203CE">
        <w:rPr>
          <w:rFonts w:ascii="inherit" w:eastAsia="Times New Roman" w:hAnsi="inherit" w:cs="Times New Roman"/>
          <w:b/>
          <w:bCs/>
          <w:color w:val="000000"/>
          <w:szCs w:val="24"/>
          <w:lang w:eastAsia="hr-HR"/>
        </w:rPr>
        <w:t>SADRŽAJ</w:t>
      </w:r>
    </w:p>
    <w:tbl>
      <w:tblPr>
        <w:tblW w:w="5000" w:type="pct"/>
        <w:tblCellSpacing w:w="0" w:type="dxa"/>
        <w:tblCellMar>
          <w:left w:w="0" w:type="dxa"/>
          <w:right w:w="0" w:type="dxa"/>
        </w:tblCellMar>
        <w:tblLook w:val="04A0" w:firstRow="1" w:lastRow="0" w:firstColumn="1" w:lastColumn="0" w:noHBand="0" w:noVBand="1"/>
      </w:tblPr>
      <w:tblGrid>
        <w:gridCol w:w="8185"/>
        <w:gridCol w:w="887"/>
      </w:tblGrid>
      <w:tr w:rsidR="005203CE" w:rsidRPr="005203CE" w:rsidTr="005203CE">
        <w:trPr>
          <w:tblCellSpacing w:w="0" w:type="dxa"/>
        </w:trPr>
        <w:tc>
          <w:tcPr>
            <w:tcW w:w="0" w:type="auto"/>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POKRATE</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3</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782"/>
        <w:gridCol w:w="5363"/>
        <w:gridCol w:w="927"/>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t>1.</w:t>
            </w:r>
          </w:p>
        </w:tc>
        <w:tc>
          <w:tcPr>
            <w:tcW w:w="0" w:type="auto"/>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UVOD</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5</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3150"/>
        <w:gridCol w:w="5202"/>
        <w:gridCol w:w="720"/>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t>1.1.</w:t>
            </w:r>
          </w:p>
        </w:tc>
        <w:tc>
          <w:tcPr>
            <w:tcW w:w="0" w:type="auto"/>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Kontekst</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5</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112"/>
        <w:gridCol w:w="7706"/>
        <w:gridCol w:w="254"/>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t>1.2.</w:t>
            </w:r>
          </w:p>
        </w:tc>
        <w:tc>
          <w:tcPr>
            <w:tcW w:w="0" w:type="auto"/>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Kome su namijenjene ove Smjernice?</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5</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358"/>
        <w:gridCol w:w="7403"/>
        <w:gridCol w:w="311"/>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t>1.3.</w:t>
            </w:r>
          </w:p>
        </w:tc>
        <w:tc>
          <w:tcPr>
            <w:tcW w:w="0" w:type="auto"/>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Kako se služiti Smjernicama?</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5</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058"/>
        <w:gridCol w:w="7661"/>
        <w:gridCol w:w="353"/>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t>2.</w:t>
            </w:r>
          </w:p>
        </w:tc>
        <w:tc>
          <w:tcPr>
            <w:tcW w:w="0" w:type="auto"/>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ZAKONODAVNI OKVIR</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6</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578"/>
        <w:gridCol w:w="7133"/>
        <w:gridCol w:w="361"/>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t>2.1.</w:t>
            </w:r>
          </w:p>
        </w:tc>
        <w:tc>
          <w:tcPr>
            <w:tcW w:w="0" w:type="auto"/>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Zakonodavstvo o otpadu</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6</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511"/>
        <w:gridCol w:w="7298"/>
        <w:gridCol w:w="263"/>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t>2.1.1.</w:t>
            </w:r>
          </w:p>
        </w:tc>
        <w:tc>
          <w:tcPr>
            <w:tcW w:w="0" w:type="auto"/>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Okvirna direktiva o otpadu (ODO)</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6</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117"/>
        <w:gridCol w:w="6587"/>
        <w:gridCol w:w="368"/>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t>2.1.2.</w:t>
            </w:r>
          </w:p>
        </w:tc>
        <w:tc>
          <w:tcPr>
            <w:tcW w:w="0" w:type="auto"/>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Europski popis otpada</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7</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784"/>
        <w:gridCol w:w="6978"/>
        <w:gridCol w:w="310"/>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t>2.1.3.</w:t>
            </w:r>
          </w:p>
        </w:tc>
        <w:tc>
          <w:tcPr>
            <w:tcW w:w="0" w:type="auto"/>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Uredba o pošiljkama otpada</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8</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926"/>
        <w:gridCol w:w="6811"/>
        <w:gridCol w:w="335"/>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t>2.1.4.</w:t>
            </w:r>
          </w:p>
        </w:tc>
        <w:tc>
          <w:tcPr>
            <w:tcW w:w="0" w:type="auto"/>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Direktiva o odlagalištima</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8</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690"/>
        <w:gridCol w:w="8262"/>
        <w:gridCol w:w="120"/>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t>2.1.5.</w:t>
            </w:r>
          </w:p>
        </w:tc>
        <w:tc>
          <w:tcPr>
            <w:tcW w:w="0" w:type="auto"/>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Direktiva o gospodarenju otpadom od industrija vađenja minerala (Direktiva o otpadu od vađenja minerala)</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9</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620"/>
        <w:gridCol w:w="5997"/>
        <w:gridCol w:w="455"/>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t>2.1.6.</w:t>
            </w:r>
          </w:p>
        </w:tc>
        <w:tc>
          <w:tcPr>
            <w:tcW w:w="0" w:type="auto"/>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Uredba REACH</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9</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899"/>
        <w:gridCol w:w="7861"/>
        <w:gridCol w:w="312"/>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t>2.1.7.</w:t>
            </w:r>
          </w:p>
        </w:tc>
        <w:tc>
          <w:tcPr>
            <w:tcW w:w="0" w:type="auto"/>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Uredba o razvrstavanju, označivanju i pakiranju (Uredba CLP)</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10</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815"/>
        <w:gridCol w:w="7974"/>
        <w:gridCol w:w="283"/>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t>2.1.8.</w:t>
            </w:r>
          </w:p>
        </w:tc>
        <w:tc>
          <w:tcPr>
            <w:tcW w:w="0" w:type="auto"/>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Uredba o postojanim organskim onečišćujućim tvarima (Uredba POP)</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10</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176"/>
        <w:gridCol w:w="6139"/>
        <w:gridCol w:w="757"/>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t>2.1.9.</w:t>
            </w:r>
          </w:p>
        </w:tc>
        <w:tc>
          <w:tcPr>
            <w:tcW w:w="0" w:type="auto"/>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 xml:space="preserve">Direktiva </w:t>
            </w:r>
            <w:proofErr w:type="spellStart"/>
            <w:r w:rsidRPr="005203CE">
              <w:rPr>
                <w:rFonts w:ascii="inherit" w:eastAsia="Times New Roman" w:hAnsi="inherit" w:cs="Times New Roman"/>
                <w:color w:val="000000"/>
                <w:szCs w:val="24"/>
                <w:lang w:eastAsia="hr-HR"/>
              </w:rPr>
              <w:t>Seveso</w:t>
            </w:r>
            <w:proofErr w:type="spellEnd"/>
            <w:r w:rsidRPr="005203CE">
              <w:rPr>
                <w:rFonts w:ascii="inherit" w:eastAsia="Times New Roman" w:hAnsi="inherit" w:cs="Times New Roman"/>
                <w:color w:val="000000"/>
                <w:szCs w:val="24"/>
                <w:lang w:eastAsia="hr-HR"/>
              </w:rPr>
              <w:t> III</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11</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669"/>
        <w:gridCol w:w="7957"/>
        <w:gridCol w:w="446"/>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t>3.</w:t>
            </w:r>
          </w:p>
        </w:tc>
        <w:tc>
          <w:tcPr>
            <w:tcW w:w="0" w:type="auto"/>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POSTUPCI RAZVRSTAVANJA OTPADA</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12</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187"/>
        <w:gridCol w:w="7342"/>
        <w:gridCol w:w="543"/>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t>3.1.</w:t>
            </w:r>
          </w:p>
        </w:tc>
        <w:tc>
          <w:tcPr>
            <w:tcW w:w="0" w:type="auto"/>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Opći pristup razvrstavanju otpada</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12</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531"/>
        <w:gridCol w:w="7009"/>
        <w:gridCol w:w="532"/>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t>3.1.1.</w:t>
            </w:r>
          </w:p>
        </w:tc>
        <w:tc>
          <w:tcPr>
            <w:tcW w:w="0" w:type="auto"/>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1. korak: primjenjuje li se ODO?</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13</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077"/>
        <w:gridCol w:w="7621"/>
        <w:gridCol w:w="374"/>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t>3.1.2.</w:t>
            </w:r>
          </w:p>
        </w:tc>
        <w:tc>
          <w:tcPr>
            <w:tcW w:w="0" w:type="auto"/>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2. korak: koji se unos s Popisa otpada primjenjuje?</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14</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732"/>
        <w:gridCol w:w="8005"/>
        <w:gridCol w:w="335"/>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t>3.2.</w:t>
            </w:r>
          </w:p>
        </w:tc>
        <w:tc>
          <w:tcPr>
            <w:tcW w:w="0" w:type="auto"/>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Raspoređivanje u zrcalne opasne ili zrcalne neopasne unose</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15</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690"/>
        <w:gridCol w:w="8142"/>
        <w:gridCol w:w="240"/>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t>3.2.1.</w:t>
            </w:r>
          </w:p>
        </w:tc>
        <w:tc>
          <w:tcPr>
            <w:tcW w:w="0" w:type="auto"/>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3. korak: zna li se dovoljno o sastavu otpada kako bi se izračunom ili ispitivanjem u skladu s 4. korakom utvrdilo pokazuje li otpad opasna svojstva?</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16</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787"/>
        <w:gridCol w:w="8011"/>
        <w:gridCol w:w="274"/>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t>3.2.2.</w:t>
            </w:r>
          </w:p>
        </w:tc>
        <w:tc>
          <w:tcPr>
            <w:tcW w:w="0" w:type="auto"/>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4. korak: pokazuje li otpad koje od opasnih svojstava od HP 1 do HP 15?</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17</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690"/>
        <w:gridCol w:w="8142"/>
        <w:gridCol w:w="240"/>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t>3.2.3.</w:t>
            </w:r>
          </w:p>
        </w:tc>
        <w:tc>
          <w:tcPr>
            <w:tcW w:w="0" w:type="auto"/>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5. korak: je li vjerojatno ili poznato da otpad sadržava bilo koju od postojanih organskih onečišćujućih tvari iz Priloga Popisu otpada (točka 2. treća alineja)?</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18</w:t>
            </w:r>
          </w:p>
        </w:tc>
      </w:tr>
    </w:tbl>
    <w:p w:rsidR="005203CE" w:rsidRPr="005203CE" w:rsidRDefault="005203CE" w:rsidP="005203CE">
      <w:pPr>
        <w:spacing w:before="120" w:after="120" w:line="240" w:lineRule="auto"/>
        <w:jc w:val="center"/>
        <w:rPr>
          <w:rFonts w:eastAsia="Times New Roman" w:cs="Times New Roman"/>
          <w:color w:val="000000"/>
          <w:szCs w:val="24"/>
          <w:lang w:eastAsia="hr-HR"/>
        </w:rPr>
      </w:pPr>
      <w:r w:rsidRPr="005203CE">
        <w:rPr>
          <w:rFonts w:eastAsia="Times New Roman" w:cs="Times New Roman"/>
          <w:color w:val="000000"/>
          <w:szCs w:val="24"/>
          <w:lang w:eastAsia="hr-HR"/>
        </w:rPr>
        <w:t>PRILOZI</w:t>
      </w:r>
    </w:p>
    <w:tbl>
      <w:tblPr>
        <w:tblW w:w="5000" w:type="pct"/>
        <w:tblCellSpacing w:w="0" w:type="dxa"/>
        <w:tblCellMar>
          <w:left w:w="0" w:type="dxa"/>
          <w:right w:w="0" w:type="dxa"/>
        </w:tblCellMar>
        <w:tblLook w:val="04A0" w:firstRow="1" w:lastRow="0" w:firstColumn="1" w:lastColumn="0" w:noHBand="0" w:noVBand="1"/>
      </w:tblPr>
      <w:tblGrid>
        <w:gridCol w:w="8552"/>
        <w:gridCol w:w="520"/>
      </w:tblGrid>
      <w:tr w:rsidR="005203CE" w:rsidRPr="005203CE" w:rsidTr="005203CE">
        <w:trPr>
          <w:tblCellSpacing w:w="0" w:type="dxa"/>
        </w:trPr>
        <w:tc>
          <w:tcPr>
            <w:tcW w:w="0" w:type="auto"/>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PRILOG 1.: Popis otpada s komentarima</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21</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8754"/>
        <w:gridCol w:w="318"/>
      </w:tblGrid>
      <w:tr w:rsidR="005203CE" w:rsidRPr="005203CE" w:rsidTr="005203CE">
        <w:trPr>
          <w:tblCellSpacing w:w="0" w:type="dxa"/>
        </w:trPr>
        <w:tc>
          <w:tcPr>
            <w:tcW w:w="0" w:type="auto"/>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PRILOG 2.: Izvori podataka i osnova informacija o opasnim tvarima</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83</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8797"/>
        <w:gridCol w:w="275"/>
      </w:tblGrid>
      <w:tr w:rsidR="005203CE" w:rsidRPr="005203CE" w:rsidTr="005203CE">
        <w:trPr>
          <w:tblCellSpacing w:w="0" w:type="dxa"/>
        </w:trPr>
        <w:tc>
          <w:tcPr>
            <w:tcW w:w="0" w:type="auto"/>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PRILOG 3.: Posebni pristupi utvrđivanju opasnih svojstava (od HP 1 do HP 15)</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87</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8459"/>
        <w:gridCol w:w="613"/>
      </w:tblGrid>
      <w:tr w:rsidR="005203CE" w:rsidRPr="005203CE" w:rsidTr="005203CE">
        <w:trPr>
          <w:tblCellSpacing w:w="0" w:type="dxa"/>
        </w:trPr>
        <w:tc>
          <w:tcPr>
            <w:tcW w:w="0" w:type="auto"/>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PRILOG 4.: Uzorkovanje i kemijska analiza otpada</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124</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8490"/>
        <w:gridCol w:w="582"/>
      </w:tblGrid>
      <w:tr w:rsidR="005203CE" w:rsidRPr="005203CE" w:rsidTr="005203CE">
        <w:trPr>
          <w:tblCellSpacing w:w="0" w:type="dxa"/>
        </w:trPr>
        <w:tc>
          <w:tcPr>
            <w:tcW w:w="0" w:type="auto"/>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PRILOG 5.: Izvori i upućivanja na vanjske dokumente</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134</w:t>
            </w:r>
          </w:p>
        </w:tc>
      </w:tr>
    </w:tbl>
    <w:p w:rsidR="005203CE" w:rsidRPr="005203CE" w:rsidRDefault="005203CE" w:rsidP="005203CE">
      <w:pPr>
        <w:spacing w:before="240" w:after="120" w:line="240" w:lineRule="auto"/>
        <w:jc w:val="both"/>
        <w:rPr>
          <w:rFonts w:eastAsia="Times New Roman" w:cs="Times New Roman"/>
          <w:b/>
          <w:bCs/>
          <w:color w:val="000000"/>
          <w:szCs w:val="24"/>
          <w:lang w:eastAsia="hr-HR"/>
        </w:rPr>
      </w:pPr>
      <w:r w:rsidRPr="005203CE">
        <w:rPr>
          <w:rFonts w:eastAsia="Times New Roman" w:cs="Times New Roman"/>
          <w:b/>
          <w:bCs/>
          <w:color w:val="000000"/>
          <w:szCs w:val="24"/>
          <w:lang w:eastAsia="hr-HR"/>
        </w:rPr>
        <w:t>1.   </w:t>
      </w:r>
      <w:r w:rsidRPr="005203CE">
        <w:rPr>
          <w:rFonts w:ascii="inherit" w:eastAsia="Times New Roman" w:hAnsi="inherit" w:cs="Times New Roman"/>
          <w:b/>
          <w:bCs/>
          <w:color w:val="000000"/>
          <w:szCs w:val="24"/>
          <w:lang w:eastAsia="hr-HR"/>
        </w:rPr>
        <w:t>UVOD</w:t>
      </w:r>
    </w:p>
    <w:p w:rsidR="005203CE" w:rsidRPr="005203CE" w:rsidRDefault="005203CE" w:rsidP="005203CE">
      <w:pPr>
        <w:spacing w:before="240" w:after="120" w:line="240" w:lineRule="auto"/>
        <w:jc w:val="both"/>
        <w:rPr>
          <w:rFonts w:eastAsia="Times New Roman" w:cs="Times New Roman"/>
          <w:b/>
          <w:bCs/>
          <w:color w:val="000000"/>
          <w:szCs w:val="24"/>
          <w:lang w:eastAsia="hr-HR"/>
        </w:rPr>
      </w:pPr>
      <w:r w:rsidRPr="005203CE">
        <w:rPr>
          <w:rFonts w:eastAsia="Times New Roman" w:cs="Times New Roman"/>
          <w:b/>
          <w:bCs/>
          <w:color w:val="000000"/>
          <w:szCs w:val="24"/>
          <w:lang w:eastAsia="hr-HR"/>
        </w:rPr>
        <w:t>1.1.   </w:t>
      </w:r>
      <w:r w:rsidRPr="005203CE">
        <w:rPr>
          <w:rFonts w:ascii="inherit" w:eastAsia="Times New Roman" w:hAnsi="inherit" w:cs="Times New Roman"/>
          <w:b/>
          <w:bCs/>
          <w:color w:val="000000"/>
          <w:szCs w:val="24"/>
          <w:lang w:eastAsia="hr-HR"/>
        </w:rPr>
        <w:t>Kontekst</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lastRenderedPageBreak/>
        <w:t>Odluka o razvrstavanju otpada na opasan ili neopasan te osobito o tome kada i u kojim okolnostima otpad treba smatrati opasnim ključna je za cijeli lanac gospodarenja otpadom od njegova stvaranja pa sve do završne obrade. Ispravno razvrstavanje otpada kao opasnog za sobom povlači niz važnih obaveza, primjerice u pogledu označivanja i pakiranja, ali i u pogledu dostupnih načina obrade usklađenih s propisima.</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Okvir EU-a za razvrstavanje otpada i popis svojstava koja otpad čine opasnim revidirani su 2014. i 2017. Pritom su u obzir uzeta iskustva stečena primjenom propisa o otpadu te znanstveni i gospodarski napredak. To ažuriranje zakonodavstva, pri kojem su uvažene bitne izmjene propisa EU-a o kemikalijama uvedene tijekom posljednjih godina, donosi nove izazove za nadležna tijela i industriju.</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 xml:space="preserve">Kao što je istaknuto u Komunikaciji Komisije o mogućnostima za poboljšanje povezanosti zakonodavstva o kemikalijama, proizvodima i otpadu (COM(2018) 32 </w:t>
      </w:r>
      <w:proofErr w:type="spellStart"/>
      <w:r w:rsidRPr="005203CE">
        <w:rPr>
          <w:rFonts w:eastAsia="Times New Roman" w:cs="Times New Roman"/>
          <w:color w:val="000000"/>
          <w:szCs w:val="24"/>
          <w:lang w:eastAsia="hr-HR"/>
        </w:rPr>
        <w:t>final</w:t>
      </w:r>
      <w:proofErr w:type="spellEnd"/>
      <w:r w:rsidRPr="005203CE">
        <w:rPr>
          <w:rFonts w:eastAsia="Times New Roman" w:cs="Times New Roman"/>
          <w:color w:val="000000"/>
          <w:szCs w:val="24"/>
          <w:lang w:eastAsia="hr-HR"/>
        </w:rPr>
        <w:t>), način na koji se pravila o razvrstavanju otpada provode i nameću ima važne posljedice za buduće odluke u pogledu gospodarenja otpadom, kao što su izvedivost i gospodarska održivost prikupljanja, metode recikliranja ili odabir između recikliranja i odlaganja. Takva neusklađenost može utjecati na uporabu sekundarnih sirovina. Ove su Smjernice za razvrstavanje otpada u Komunikaciji predložene kao prvi instrument čiji je cilj subjektima koji rade s otpadom i nadležnim tijelima pomoći da primijene zajednički pristup za karakterizaciju i razvrstavanje otpada, na taj način smanjujući takve neusklađenosti i učinke.</w:t>
      </w:r>
    </w:p>
    <w:p w:rsidR="005203CE" w:rsidRPr="005203CE" w:rsidRDefault="005203CE" w:rsidP="005203CE">
      <w:pPr>
        <w:spacing w:before="240" w:after="120" w:line="240" w:lineRule="auto"/>
        <w:jc w:val="both"/>
        <w:rPr>
          <w:rFonts w:eastAsia="Times New Roman" w:cs="Times New Roman"/>
          <w:b/>
          <w:bCs/>
          <w:color w:val="000000"/>
          <w:szCs w:val="24"/>
          <w:lang w:eastAsia="hr-HR"/>
        </w:rPr>
      </w:pPr>
      <w:r w:rsidRPr="005203CE">
        <w:rPr>
          <w:rFonts w:eastAsia="Times New Roman" w:cs="Times New Roman"/>
          <w:b/>
          <w:bCs/>
          <w:color w:val="000000"/>
          <w:szCs w:val="24"/>
          <w:lang w:eastAsia="hr-HR"/>
        </w:rPr>
        <w:t>1.2.   </w:t>
      </w:r>
      <w:r w:rsidRPr="005203CE">
        <w:rPr>
          <w:rFonts w:ascii="inherit" w:eastAsia="Times New Roman" w:hAnsi="inherit" w:cs="Times New Roman"/>
          <w:b/>
          <w:bCs/>
          <w:color w:val="000000"/>
          <w:szCs w:val="24"/>
          <w:lang w:eastAsia="hr-HR"/>
        </w:rPr>
        <w:t>Kome su namijenjene ove Smjernice?</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Ovaj dokument sadržava smjernice za nacionalna tijela, uključujući tijela lokalne vlasti i poduzeća (npr. za izdavanje dozvola) o ispravnom tumačenju i primjeni relevantnog zakonodavstva EU-a o razvrstavanju otpada, posebice Okvirne direktive o otpadu</w:t>
      </w:r>
      <w:hyperlink r:id="rId7" w:anchor="ntr4-C_2018124HR.01000101-E0004"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4</w:t>
        </w:r>
        <w:r w:rsidRPr="005203CE">
          <w:rPr>
            <w:rFonts w:ascii="inherit" w:eastAsia="Times New Roman" w:hAnsi="inherit" w:cs="Times New Roman"/>
            <w:color w:val="0000FF"/>
            <w:szCs w:val="24"/>
            <w:u w:val="single"/>
            <w:lang w:eastAsia="hr-HR"/>
          </w:rPr>
          <w:t>)</w:t>
        </w:r>
      </w:hyperlink>
      <w:r w:rsidRPr="005203CE">
        <w:rPr>
          <w:rFonts w:eastAsia="Times New Roman" w:cs="Times New Roman"/>
          <w:color w:val="000000"/>
          <w:szCs w:val="24"/>
          <w:lang w:eastAsia="hr-HR"/>
        </w:rPr>
        <w:t> i Popisa otpada</w:t>
      </w:r>
      <w:hyperlink r:id="rId8" w:anchor="ntr5-C_2018124HR.01000101-E0005"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5</w:t>
        </w:r>
        <w:r w:rsidRPr="005203CE">
          <w:rPr>
            <w:rFonts w:ascii="inherit" w:eastAsia="Times New Roman" w:hAnsi="inherit" w:cs="Times New Roman"/>
            <w:color w:val="0000FF"/>
            <w:szCs w:val="24"/>
            <w:u w:val="single"/>
            <w:lang w:eastAsia="hr-HR"/>
          </w:rPr>
          <w:t>)</w:t>
        </w:r>
      </w:hyperlink>
      <w:r w:rsidRPr="005203CE">
        <w:rPr>
          <w:rFonts w:eastAsia="Times New Roman" w:cs="Times New Roman"/>
          <w:color w:val="000000"/>
          <w:szCs w:val="24"/>
          <w:lang w:eastAsia="hr-HR"/>
        </w:rPr>
        <w:t>.</w:t>
      </w:r>
    </w:p>
    <w:p w:rsidR="005203CE" w:rsidRPr="005203CE" w:rsidRDefault="005203CE" w:rsidP="005203CE">
      <w:pPr>
        <w:spacing w:before="240" w:after="120" w:line="240" w:lineRule="auto"/>
        <w:jc w:val="both"/>
        <w:rPr>
          <w:rFonts w:eastAsia="Times New Roman" w:cs="Times New Roman"/>
          <w:b/>
          <w:bCs/>
          <w:color w:val="000000"/>
          <w:szCs w:val="24"/>
          <w:lang w:eastAsia="hr-HR"/>
        </w:rPr>
      </w:pPr>
      <w:r w:rsidRPr="005203CE">
        <w:rPr>
          <w:rFonts w:eastAsia="Times New Roman" w:cs="Times New Roman"/>
          <w:b/>
          <w:bCs/>
          <w:color w:val="000000"/>
          <w:szCs w:val="24"/>
          <w:lang w:eastAsia="hr-HR"/>
        </w:rPr>
        <w:t>1.3.   </w:t>
      </w:r>
      <w:r w:rsidRPr="005203CE">
        <w:rPr>
          <w:rFonts w:ascii="inherit" w:eastAsia="Times New Roman" w:hAnsi="inherit" w:cs="Times New Roman"/>
          <w:b/>
          <w:bCs/>
          <w:color w:val="000000"/>
          <w:szCs w:val="24"/>
          <w:lang w:eastAsia="hr-HR"/>
        </w:rPr>
        <w:t>Kako se služiti Smjernicama?</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U poglavljima 1. i 2. predstavljeni su opći kontekst i poseban zakonodavni okvir.</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Poglavlje 3. čitatelja vodi kroz osnovne korake u postupku razvrstavanja. Ono ne sadržava posebne informacije o provođenju koraka neophodnih za razvrstavanje, već donosi opći pregled. Za određene se korake upućuje na odgovarajući prilog, u kojem se navode podrobnije informacije.</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noProof/>
          <w:color w:val="000000"/>
          <w:szCs w:val="24"/>
          <w:lang w:eastAsia="hr-HR"/>
        </w:rPr>
        <w:lastRenderedPageBreak/>
        <w:drawing>
          <wp:inline distT="0" distB="0" distL="0" distR="0">
            <wp:extent cx="6467475" cy="3162300"/>
            <wp:effectExtent l="0" t="0" r="9525" b="0"/>
            <wp:docPr id="25" name="Pictur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7475" cy="3162300"/>
                    </a:xfrm>
                    <a:prstGeom prst="rect">
                      <a:avLst/>
                    </a:prstGeom>
                    <a:noFill/>
                    <a:ln>
                      <a:noFill/>
                    </a:ln>
                  </pic:spPr>
                </pic:pic>
              </a:graphicData>
            </a:graphic>
          </wp:inline>
        </w:drawing>
      </w:r>
    </w:p>
    <w:p w:rsidR="005203CE" w:rsidRPr="005203CE" w:rsidRDefault="005203CE" w:rsidP="005203CE">
      <w:pPr>
        <w:spacing w:before="240" w:after="120" w:line="240" w:lineRule="auto"/>
        <w:jc w:val="both"/>
        <w:rPr>
          <w:rFonts w:eastAsia="Times New Roman" w:cs="Times New Roman"/>
          <w:b/>
          <w:bCs/>
          <w:color w:val="000000"/>
          <w:szCs w:val="24"/>
          <w:lang w:eastAsia="hr-HR"/>
        </w:rPr>
      </w:pPr>
      <w:r w:rsidRPr="005203CE">
        <w:rPr>
          <w:rFonts w:eastAsia="Times New Roman" w:cs="Times New Roman"/>
          <w:b/>
          <w:bCs/>
          <w:color w:val="000000"/>
          <w:szCs w:val="24"/>
          <w:lang w:eastAsia="hr-HR"/>
        </w:rPr>
        <w:t>2.   </w:t>
      </w:r>
      <w:r w:rsidRPr="005203CE">
        <w:rPr>
          <w:rFonts w:ascii="inherit" w:eastAsia="Times New Roman" w:hAnsi="inherit" w:cs="Times New Roman"/>
          <w:b/>
          <w:bCs/>
          <w:color w:val="000000"/>
          <w:szCs w:val="24"/>
          <w:lang w:eastAsia="hr-HR"/>
        </w:rPr>
        <w:t>ZAKONODAVNI OKVIR</w:t>
      </w:r>
    </w:p>
    <w:p w:rsidR="005203CE" w:rsidRPr="005203CE" w:rsidRDefault="005203CE" w:rsidP="005203CE">
      <w:pPr>
        <w:spacing w:before="240" w:after="120" w:line="240" w:lineRule="auto"/>
        <w:jc w:val="both"/>
        <w:rPr>
          <w:rFonts w:eastAsia="Times New Roman" w:cs="Times New Roman"/>
          <w:b/>
          <w:bCs/>
          <w:color w:val="000000"/>
          <w:szCs w:val="24"/>
          <w:lang w:eastAsia="hr-HR"/>
        </w:rPr>
      </w:pPr>
      <w:r w:rsidRPr="005203CE">
        <w:rPr>
          <w:rFonts w:eastAsia="Times New Roman" w:cs="Times New Roman"/>
          <w:b/>
          <w:bCs/>
          <w:color w:val="000000"/>
          <w:szCs w:val="24"/>
          <w:lang w:eastAsia="hr-HR"/>
        </w:rPr>
        <w:t>2.1.   </w:t>
      </w:r>
      <w:r w:rsidRPr="005203CE">
        <w:rPr>
          <w:rFonts w:ascii="inherit" w:eastAsia="Times New Roman" w:hAnsi="inherit" w:cs="Times New Roman"/>
          <w:b/>
          <w:bCs/>
          <w:color w:val="000000"/>
          <w:szCs w:val="24"/>
          <w:lang w:eastAsia="hr-HR"/>
        </w:rPr>
        <w:t>Zakonodavstvo o otpadu</w:t>
      </w:r>
    </w:p>
    <w:p w:rsidR="005203CE" w:rsidRPr="005203CE" w:rsidRDefault="005203CE" w:rsidP="005203CE">
      <w:pPr>
        <w:spacing w:before="240" w:after="120" w:line="240" w:lineRule="auto"/>
        <w:jc w:val="both"/>
        <w:rPr>
          <w:rFonts w:eastAsia="Times New Roman" w:cs="Times New Roman"/>
          <w:b/>
          <w:bCs/>
          <w:color w:val="000000"/>
          <w:szCs w:val="24"/>
          <w:lang w:eastAsia="hr-HR"/>
        </w:rPr>
      </w:pPr>
      <w:r w:rsidRPr="005203CE">
        <w:rPr>
          <w:rFonts w:eastAsia="Times New Roman" w:cs="Times New Roman"/>
          <w:b/>
          <w:bCs/>
          <w:color w:val="000000"/>
          <w:szCs w:val="24"/>
          <w:lang w:eastAsia="hr-HR"/>
        </w:rPr>
        <w:t>2.1.1.   </w:t>
      </w:r>
      <w:r w:rsidRPr="005203CE">
        <w:rPr>
          <w:rFonts w:ascii="inherit" w:eastAsia="Times New Roman" w:hAnsi="inherit" w:cs="Times New Roman"/>
          <w:b/>
          <w:bCs/>
          <w:i/>
          <w:iCs/>
          <w:color w:val="000000"/>
          <w:szCs w:val="24"/>
          <w:lang w:eastAsia="hr-HR"/>
        </w:rPr>
        <w:t>Okvirna direktiva o otpadu (ODO)</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5203CE" w:rsidRPr="005203CE" w:rsidTr="005203C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U Okvirnoj direktivi o otpadu utvrđeno je što je otpad i kako bi se njime trebalo gospodariti.</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Opasni otpad definiran je kao otpad koji posjeduje jedno ili više opasnih svojstava navedenih u Prilogu III. ODO-u. Člankom 7. ODO-a utvrđena je osnova za Popis otpada.</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133"/>
        <w:gridCol w:w="6939"/>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Okvir 1.:</w:t>
            </w:r>
          </w:p>
        </w:tc>
        <w:tc>
          <w:tcPr>
            <w:tcW w:w="0" w:type="auto"/>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b/>
                <w:bCs/>
                <w:color w:val="000000"/>
                <w:szCs w:val="24"/>
                <w:lang w:eastAsia="hr-HR"/>
              </w:rPr>
              <w:t>Okvirna direktiva o otpadu</w:t>
            </w:r>
          </w:p>
        </w:tc>
      </w:tr>
    </w:tbl>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Okvirna direktiva o otpadu 2008/98/EZ (dalje u tekstu „ODO”) glavni je zakonodavni dokument o otpadu na razini EU-a. Budući da je riječ o direktivi, ona se u nacionalno zakonodavstvo država članica prenosi zasebnim pravnim aktima.</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Područje primjene Direktive određeno je definicijom „otpada” u njezinu članku 3. stavku 1., koja glasi:</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„svaka tvar ili predmet koji posjednik odbacuje ili namjerava ili mora odbaciti”.</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U mnogim je slučajevima lako odlučiti je li tvar ili predmet „otpad” u skladu s Direktivom. Međutim, u nekim je drugim slučajevima to teže učiniti. Opsežne smjernice u pogledu definicije „otpada”, uključujući informacije o isključenju iz područja primjene ODO-a te primjere iz obvezujuće sudske prakse Suda EU-a, dostupne su u </w:t>
      </w:r>
      <w:r w:rsidRPr="005203CE">
        <w:rPr>
          <w:rFonts w:ascii="inherit" w:eastAsia="Times New Roman" w:hAnsi="inherit" w:cs="Times New Roman"/>
          <w:i/>
          <w:iCs/>
          <w:color w:val="000000"/>
          <w:szCs w:val="24"/>
          <w:lang w:eastAsia="hr-HR"/>
        </w:rPr>
        <w:t>Smjernicama za tumačenje ključnih odredaba Direktive 2008/98/EZ</w:t>
      </w:r>
      <w:r w:rsidRPr="005203CE">
        <w:rPr>
          <w:rFonts w:eastAsia="Times New Roman" w:cs="Times New Roman"/>
          <w:color w:val="000000"/>
          <w:szCs w:val="24"/>
          <w:lang w:eastAsia="hr-HR"/>
        </w:rPr>
        <w:t> </w:t>
      </w:r>
      <w:hyperlink r:id="rId10" w:anchor="ntr6-C_2018124HR.01000101-E0006"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6</w:t>
        </w:r>
        <w:r w:rsidRPr="005203CE">
          <w:rPr>
            <w:rFonts w:ascii="inherit" w:eastAsia="Times New Roman" w:hAnsi="inherit" w:cs="Times New Roman"/>
            <w:color w:val="0000FF"/>
            <w:szCs w:val="24"/>
            <w:u w:val="single"/>
            <w:lang w:eastAsia="hr-HR"/>
          </w:rPr>
          <w:t>)</w:t>
        </w:r>
      </w:hyperlink>
      <w:r w:rsidRPr="005203CE">
        <w:rPr>
          <w:rFonts w:eastAsia="Times New Roman" w:cs="Times New Roman"/>
          <w:color w:val="000000"/>
          <w:szCs w:val="24"/>
          <w:lang w:eastAsia="hr-HR"/>
        </w:rPr>
        <w:t> (dalje u tekstu „Smjernice o ODO-u”). Ako tvar ili predmet ispunjava kriterije za otpad, tada podliježe propisima o otpadu, uključujući pravila o razvrstavanju otpada (osim ako je tvar ili predmet izričito isključen iz područja primjene ODO-a).</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U članku 3. stavku 2. ODO-a „opasan otpad” definiran je kao</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„otpad koji posjeduje jedno ili više opasnih svojstava navedenih u Prilogu III”.</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lastRenderedPageBreak/>
        <w:t>Odluka o tome može li se tvar ili predmet smatrati „otpadom” u smislu ODO-a jednako je važna kao i odluka o tome treba li ga razvrstati kao „neopasan otpad” ili „opasan otpad”.</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Na upravljanje opasnim otpadom primjenjuju se strogi uvjeti, točnije:</w:t>
      </w: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obveza pružanja dokaza za praćenje otpada u skladu sa sustavom koji je uspostavila odgovarajuća država članica (članak 17. ODO-a),</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68"/>
        <w:gridCol w:w="8804"/>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zabrana miješanja (članak 18. ODO-a, za pojedinosti vidjeti Smjernice o ODO-u),</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358"/>
        <w:gridCol w:w="8714"/>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posebne obveze označivanja i pakiranja (članak 19. ODO-a).</w:t>
            </w:r>
          </w:p>
        </w:tc>
      </w:tr>
    </w:tbl>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Zakonodavstvom EU-a dodatno je utvrđeno da se opasni otpad mora obrađivati samo u namjenskim postrojenjima za obradu koja su ishodila posebnu dozvolu kako je propisano člancima od 23. do 25. Okvirne direktive o otpadu, ali i drugim zakonodavnim aktima, kao što su Direktiva o odlagalištima</w:t>
      </w:r>
      <w:hyperlink r:id="rId11" w:anchor="ntr7-C_2018124HR.01000101-E0007"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7</w:t>
        </w:r>
        <w:r w:rsidRPr="005203CE">
          <w:rPr>
            <w:rFonts w:ascii="inherit" w:eastAsia="Times New Roman" w:hAnsi="inherit" w:cs="Times New Roman"/>
            <w:color w:val="0000FF"/>
            <w:szCs w:val="24"/>
            <w:u w:val="single"/>
            <w:lang w:eastAsia="hr-HR"/>
          </w:rPr>
          <w:t>)</w:t>
        </w:r>
      </w:hyperlink>
      <w:r w:rsidRPr="005203CE">
        <w:rPr>
          <w:rFonts w:eastAsia="Times New Roman" w:cs="Times New Roman"/>
          <w:color w:val="000000"/>
          <w:szCs w:val="24"/>
          <w:lang w:eastAsia="hr-HR"/>
        </w:rPr>
        <w:t> i Direktiva o industrijskim emisijama</w:t>
      </w:r>
      <w:hyperlink r:id="rId12" w:anchor="ntr8-C_2018124HR.01000101-E0008"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8</w:t>
        </w:r>
        <w:r w:rsidRPr="005203CE">
          <w:rPr>
            <w:rFonts w:ascii="inherit" w:eastAsia="Times New Roman" w:hAnsi="inherit" w:cs="Times New Roman"/>
            <w:color w:val="0000FF"/>
            <w:szCs w:val="24"/>
            <w:u w:val="single"/>
            <w:lang w:eastAsia="hr-HR"/>
          </w:rPr>
          <w:t>)</w:t>
        </w:r>
      </w:hyperlink>
      <w:r w:rsidRPr="005203CE">
        <w:rPr>
          <w:rFonts w:eastAsia="Times New Roman" w:cs="Times New Roman"/>
          <w:color w:val="000000"/>
          <w:szCs w:val="24"/>
          <w:lang w:eastAsia="hr-HR"/>
        </w:rPr>
        <w:t>.</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Svojstva otpada iz Priloga III. ODO-u koja ga čine opasnim nedavno su prilagođena znanstvenom napretku Uredbom Komisije (EU) br. 1357/2014</w:t>
      </w:r>
      <w:hyperlink r:id="rId13" w:anchor="ntr9-C_2018124HR.01000101-E0009"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9</w:t>
        </w:r>
        <w:r w:rsidRPr="005203CE">
          <w:rPr>
            <w:rFonts w:ascii="inherit" w:eastAsia="Times New Roman" w:hAnsi="inherit" w:cs="Times New Roman"/>
            <w:color w:val="0000FF"/>
            <w:szCs w:val="24"/>
            <w:u w:val="single"/>
            <w:lang w:eastAsia="hr-HR"/>
          </w:rPr>
          <w:t>)</w:t>
        </w:r>
      </w:hyperlink>
      <w:r w:rsidRPr="005203CE">
        <w:rPr>
          <w:rFonts w:eastAsia="Times New Roman" w:cs="Times New Roman"/>
          <w:color w:val="000000"/>
          <w:szCs w:val="24"/>
          <w:lang w:eastAsia="hr-HR"/>
        </w:rPr>
        <w:t>, koja se primjenjuje od 1. lipnja 2015., i Uredbom Vijeća (EU) 2017/997</w:t>
      </w:r>
      <w:hyperlink r:id="rId14" w:anchor="ntr10-C_2018124HR.01000101-E0010"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10</w:t>
        </w:r>
        <w:r w:rsidRPr="005203CE">
          <w:rPr>
            <w:rFonts w:ascii="inherit" w:eastAsia="Times New Roman" w:hAnsi="inherit" w:cs="Times New Roman"/>
            <w:color w:val="0000FF"/>
            <w:szCs w:val="24"/>
            <w:u w:val="single"/>
            <w:lang w:eastAsia="hr-HR"/>
          </w:rPr>
          <w:t>)</w:t>
        </w:r>
      </w:hyperlink>
      <w:r w:rsidRPr="005203CE">
        <w:rPr>
          <w:rFonts w:eastAsia="Times New Roman" w:cs="Times New Roman"/>
          <w:color w:val="000000"/>
          <w:szCs w:val="24"/>
          <w:lang w:eastAsia="hr-HR"/>
        </w:rPr>
        <w:t>, koja se primjenjuje od 5. srpnja 2018. Uredbe EU-a izravno se primjenjuju u državama članicama bez prenošenja u nacionalno zakonodavstvo. Opasna svojstva detaljno su obrađena u Prilogu 3. ovom dokumentu.</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U kontekstu razvrstavanja otpada člankom 7. ODO-a utvrđuju se temelji za Popis otpada (vidjeti u nastavku) i njegovu primjenu. Države članice mogu u nacionalne dokumente kojima se prenosi Popis otpada uvrstiti dodatne unose.</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5203CE" w:rsidRPr="005203CE" w:rsidTr="005203C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Članak 7. Okvirne direktive o otpadu</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Odredbama iz članka 7. stavaka 2. i 3. ODO-a uređuju se slučajevi u kojima država članica opasnim smatra otpad koji je na Popisu označen kao neopasan i obratno. Ta dva stavka glase kako slijedi:</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„2.   </w:t>
            </w:r>
            <w:r w:rsidRPr="005203CE">
              <w:rPr>
                <w:rFonts w:ascii="inherit" w:eastAsia="Times New Roman" w:hAnsi="inherit" w:cs="Times New Roman"/>
                <w:i/>
                <w:iCs/>
                <w:color w:val="000000"/>
                <w:szCs w:val="24"/>
                <w:lang w:eastAsia="hr-HR"/>
              </w:rPr>
              <w:t>Otpad koji se na popisu otpada ne pojavljuje kao opasan država članica može smatrati opasnim otpadom ako pokazuje jedno ili više svojstava navedenih u Prilogu III. Država članica o takvim slučajevima izvješćuje Komisiju bez odlaganja. Unosi ih u izvješće predviđeno člankom 37. stavkom 1. i dostavlja Komisiji sve relevantne podatke. Popis treba preispitati u svjetlu primljenih obavijesti kako bi se donijela odluka o tome je li ga potrebno prilagoditi.</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3.   Ako država članica može dokazati da određeni otpad koji se pojavljuje na popisu opasnog otpada ne pokazuje neko od svojstava navedenih u Prilogu III., ona takav otpad može smatrati neopasnim otpadom. Država članica dužna je izvijestiti Komisiju o takvim slučajevima bez odlaganja i dostaviti Komisiji sve relevantne podatke. Popis treba preispitati u svjetlu primljenih obavijesti kako bi se donijela odluka o tome je li ga potrebno prilagoditi.”</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Člankom 7. stavcima 2. i 3. nije propisano nadležno tijelo ili odgovarajući postupak za donošenje takvih odluka; to je pitanje prepušteno unutarnjem pravnom i administrativnom ustroju svake države članice (međutim, gospodarski subjekti ili drugi privatni subjekti ne smatraju se „državama članicama” i nisu ovlašteni donijeti odluku na temelju članka 7. stavaka 2. i 3. ODO-a).</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671"/>
        <w:gridCol w:w="7401"/>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lastRenderedPageBreak/>
              <w:t>Okvir 2.:</w:t>
            </w:r>
          </w:p>
        </w:tc>
        <w:tc>
          <w:tcPr>
            <w:tcW w:w="0" w:type="auto"/>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b/>
                <w:bCs/>
                <w:color w:val="000000"/>
                <w:szCs w:val="24"/>
                <w:lang w:eastAsia="hr-HR"/>
              </w:rPr>
              <w:t>Članak 7. Okvirne direktive o otpadu</w:t>
            </w:r>
          </w:p>
        </w:tc>
      </w:tr>
    </w:tbl>
    <w:p w:rsidR="005203CE" w:rsidRPr="005203CE" w:rsidRDefault="005203CE" w:rsidP="005203CE">
      <w:pPr>
        <w:spacing w:before="240" w:after="120" w:line="240" w:lineRule="auto"/>
        <w:jc w:val="both"/>
        <w:rPr>
          <w:rFonts w:eastAsia="Times New Roman" w:cs="Times New Roman"/>
          <w:b/>
          <w:bCs/>
          <w:color w:val="000000"/>
          <w:szCs w:val="24"/>
          <w:lang w:eastAsia="hr-HR"/>
        </w:rPr>
      </w:pPr>
      <w:r w:rsidRPr="005203CE">
        <w:rPr>
          <w:rFonts w:eastAsia="Times New Roman" w:cs="Times New Roman"/>
          <w:b/>
          <w:bCs/>
          <w:color w:val="000000"/>
          <w:szCs w:val="24"/>
          <w:lang w:eastAsia="hr-HR"/>
        </w:rPr>
        <w:t>2.1.2.   </w:t>
      </w:r>
      <w:r w:rsidRPr="005203CE">
        <w:rPr>
          <w:rFonts w:ascii="inherit" w:eastAsia="Times New Roman" w:hAnsi="inherit" w:cs="Times New Roman"/>
          <w:b/>
          <w:bCs/>
          <w:i/>
          <w:iCs/>
          <w:color w:val="000000"/>
          <w:szCs w:val="24"/>
          <w:lang w:eastAsia="hr-HR"/>
        </w:rPr>
        <w:t>Europski popis otpada</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5203CE" w:rsidRPr="005203CE" w:rsidTr="005203C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Popis otpada sadržava dodatne odredbe za procjenu opasnih svojstava i razvrstavanje otpada.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 xml:space="preserve">Podijeljen je na poglavlja, </w:t>
            </w:r>
            <w:proofErr w:type="spellStart"/>
            <w:r w:rsidRPr="005203CE">
              <w:rPr>
                <w:rFonts w:ascii="inherit" w:eastAsia="Times New Roman" w:hAnsi="inherit" w:cs="Times New Roman"/>
                <w:color w:val="000000"/>
                <w:szCs w:val="24"/>
                <w:lang w:eastAsia="hr-HR"/>
              </w:rPr>
              <w:t>potpoglavlja</w:t>
            </w:r>
            <w:proofErr w:type="spellEnd"/>
            <w:r w:rsidRPr="005203CE">
              <w:rPr>
                <w:rFonts w:ascii="inherit" w:eastAsia="Times New Roman" w:hAnsi="inherit" w:cs="Times New Roman"/>
                <w:color w:val="000000"/>
                <w:szCs w:val="24"/>
                <w:lang w:eastAsia="hr-HR"/>
              </w:rPr>
              <w:t xml:space="preserve"> i unose. Unosi s Popisa otpada mogu se razvrstati na „apsolutno opasne unose”, „apsolutno neopasne unose” i „zrcalne unose”.</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66"/>
        <w:gridCol w:w="6606"/>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Okvir 3.:</w:t>
            </w:r>
          </w:p>
        </w:tc>
        <w:tc>
          <w:tcPr>
            <w:tcW w:w="0" w:type="auto"/>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b/>
                <w:bCs/>
                <w:color w:val="000000"/>
                <w:szCs w:val="24"/>
                <w:lang w:eastAsia="hr-HR"/>
              </w:rPr>
              <w:t>Europski popis otpada</w:t>
            </w:r>
          </w:p>
        </w:tc>
      </w:tr>
    </w:tbl>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Europski popis otpada utvrđen je Odlukom Komisije 2000/532/EZ</w:t>
      </w:r>
      <w:hyperlink r:id="rId15" w:anchor="ntr11-C_2018124HR.01000101-E0011"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11</w:t>
        </w:r>
        <w:r w:rsidRPr="005203CE">
          <w:rPr>
            <w:rFonts w:ascii="inherit" w:eastAsia="Times New Roman" w:hAnsi="inherit" w:cs="Times New Roman"/>
            <w:color w:val="0000FF"/>
            <w:szCs w:val="24"/>
            <w:u w:val="single"/>
            <w:lang w:eastAsia="hr-HR"/>
          </w:rPr>
          <w:t>)</w:t>
        </w:r>
      </w:hyperlink>
      <w:r w:rsidRPr="005203CE">
        <w:rPr>
          <w:rFonts w:eastAsia="Times New Roman" w:cs="Times New Roman"/>
          <w:color w:val="000000"/>
          <w:szCs w:val="24"/>
          <w:lang w:eastAsia="hr-HR"/>
        </w:rPr>
        <w:t> i ključni je dokument za razvrstavanje otpada. Pročišćena verzija Popisa otpada dostupna je od 2000., a Odlukom Komisije 2014/955/EU</w:t>
      </w:r>
      <w:hyperlink r:id="rId16" w:anchor="ntr12-C_2018124HR.01000101-E0012"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12</w:t>
        </w:r>
        <w:r w:rsidRPr="005203CE">
          <w:rPr>
            <w:rFonts w:ascii="inherit" w:eastAsia="Times New Roman" w:hAnsi="inherit" w:cs="Times New Roman"/>
            <w:color w:val="0000FF"/>
            <w:szCs w:val="24"/>
            <w:u w:val="single"/>
            <w:lang w:eastAsia="hr-HR"/>
          </w:rPr>
          <w:t>)</w:t>
        </w:r>
      </w:hyperlink>
      <w:r w:rsidRPr="005203CE">
        <w:rPr>
          <w:rFonts w:eastAsia="Times New Roman" w:cs="Times New Roman"/>
          <w:color w:val="000000"/>
          <w:szCs w:val="24"/>
          <w:lang w:eastAsia="hr-HR"/>
        </w:rPr>
        <w:t> revidirana je radi prilagodbe Popisa znanstvenom napretku i njegova usklađivanja s razvojem propisa o kemikalijama. Popis otpada donesen je odlukom EU-a i kao takav je obvezujući u cijelosti. Odluka je upućena državama članicama i ne treba je prenositi u nacionalno zakonodavstvo. Neke su države članice objavile dokumente sa smjernicama o Popisu otpada kako bi pomogle poduzećima i tijelima u primjeni Popisa u državi članici, osobito u slučajevima u kojima države članice primjenjuju članak 7. stavke 2. ili 3. (vidjeti okvir 2.).</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Razvrstavanje prema Popisu otpada prije svega znači da se svaki otpad mora razvrstati prema šesteroznamenkastom broju (za pojedinosti vidjeti Prilog 1.).</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Potpuno i usklađeno razvrstavanje poduzećima i nadležnim tijelima omogućuje da odluče je li otpad opasan ili ne (za pojedinosti vidjeti poglavlje 2.3.1.). U tom pogledu na Popisu otpada postoje tri vrste unosa:</w:t>
      </w: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„apsolutno opasni unosi”: otpad koji je raspoređen u apsolutno opasne unose ne može se uvrstiti u neopasne unose i opasan je bez dodatne procjene,</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„apsolutno neopasni unosi”: otpad koji je raspoređen u apsolutno neopasne unose ne može se uvrstiti u opasne unose i neopasan je bez dodatne procjene,</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„zrcalni unosi” odnose se na otpad iz istog izvora koji se prema Popisu otpada može uvrstiti u opasne unose ili u neopasne unose, ovisno o konkretnom slučaju i o sastavu otpada.</w:t>
            </w:r>
          </w:p>
        </w:tc>
      </w:tr>
    </w:tbl>
    <w:p w:rsidR="005203CE" w:rsidRPr="005203CE" w:rsidRDefault="005203CE" w:rsidP="005203CE">
      <w:pPr>
        <w:spacing w:before="240" w:after="120" w:line="240" w:lineRule="auto"/>
        <w:jc w:val="both"/>
        <w:rPr>
          <w:rFonts w:eastAsia="Times New Roman" w:cs="Times New Roman"/>
          <w:b/>
          <w:bCs/>
          <w:color w:val="000000"/>
          <w:szCs w:val="24"/>
          <w:lang w:eastAsia="hr-HR"/>
        </w:rPr>
      </w:pPr>
      <w:r w:rsidRPr="005203CE">
        <w:rPr>
          <w:rFonts w:eastAsia="Times New Roman" w:cs="Times New Roman"/>
          <w:b/>
          <w:bCs/>
          <w:color w:val="000000"/>
          <w:szCs w:val="24"/>
          <w:lang w:eastAsia="hr-HR"/>
        </w:rPr>
        <w:t>2.1.3.   </w:t>
      </w:r>
      <w:r w:rsidRPr="005203CE">
        <w:rPr>
          <w:rFonts w:ascii="inherit" w:eastAsia="Times New Roman" w:hAnsi="inherit" w:cs="Times New Roman"/>
          <w:b/>
          <w:bCs/>
          <w:i/>
          <w:iCs/>
          <w:color w:val="000000"/>
          <w:szCs w:val="24"/>
          <w:lang w:eastAsia="hr-HR"/>
        </w:rPr>
        <w:t>Uredba o pošiljkama otpada</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5203CE" w:rsidRPr="005203CE" w:rsidTr="005203C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 xml:space="preserve">Uredbom o pošiljkama otpada se u zakonodavstvo EU-a prenose odredbe </w:t>
            </w:r>
            <w:proofErr w:type="spellStart"/>
            <w:r w:rsidRPr="005203CE">
              <w:rPr>
                <w:rFonts w:ascii="inherit" w:eastAsia="Times New Roman" w:hAnsi="inherit" w:cs="Times New Roman"/>
                <w:color w:val="000000"/>
                <w:szCs w:val="24"/>
                <w:lang w:eastAsia="hr-HR"/>
              </w:rPr>
              <w:t>Baselske</w:t>
            </w:r>
            <w:proofErr w:type="spellEnd"/>
            <w:r w:rsidRPr="005203CE">
              <w:rPr>
                <w:rFonts w:ascii="inherit" w:eastAsia="Times New Roman" w:hAnsi="inherit" w:cs="Times New Roman"/>
                <w:color w:val="000000"/>
                <w:szCs w:val="24"/>
                <w:lang w:eastAsia="hr-HR"/>
              </w:rPr>
              <w:t xml:space="preserve"> konvencije i Odluke OECD-a C(2001)107/</w:t>
            </w:r>
            <w:proofErr w:type="spellStart"/>
            <w:r w:rsidRPr="005203CE">
              <w:rPr>
                <w:rFonts w:ascii="inherit" w:eastAsia="Times New Roman" w:hAnsi="inherit" w:cs="Times New Roman"/>
                <w:color w:val="000000"/>
                <w:szCs w:val="24"/>
                <w:lang w:eastAsia="hr-HR"/>
              </w:rPr>
              <w:t>Final</w:t>
            </w:r>
            <w:proofErr w:type="spellEnd"/>
            <w:r w:rsidRPr="005203CE">
              <w:rPr>
                <w:rFonts w:ascii="inherit" w:eastAsia="Times New Roman" w:hAnsi="inherit" w:cs="Times New Roman"/>
                <w:color w:val="000000"/>
                <w:szCs w:val="24"/>
                <w:lang w:eastAsia="hr-HR"/>
              </w:rPr>
              <w:t>.</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Postupci prijevoza ovise o vrsti otpada, njegovu odredištu i postupku obrade.</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080"/>
        <w:gridCol w:w="699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Okvir 4.:</w:t>
            </w:r>
          </w:p>
        </w:tc>
        <w:tc>
          <w:tcPr>
            <w:tcW w:w="0" w:type="auto"/>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b/>
                <w:bCs/>
                <w:color w:val="000000"/>
                <w:szCs w:val="24"/>
                <w:lang w:eastAsia="hr-HR"/>
              </w:rPr>
              <w:t>Uredba o pošiljkama otpada</w:t>
            </w:r>
          </w:p>
        </w:tc>
      </w:tr>
    </w:tbl>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Uredbom (EZ) br. 1013/2006 o pošiljkama otpada (dalje u tekstu „Uredba o pošiljkama otpada”)</w:t>
      </w:r>
      <w:hyperlink r:id="rId17" w:anchor="ntr13-C_2018124HR.01000101-E0013"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13</w:t>
        </w:r>
        <w:r w:rsidRPr="005203CE">
          <w:rPr>
            <w:rFonts w:ascii="inherit" w:eastAsia="Times New Roman" w:hAnsi="inherit" w:cs="Times New Roman"/>
            <w:color w:val="0000FF"/>
            <w:szCs w:val="24"/>
            <w:u w:val="single"/>
            <w:lang w:eastAsia="hr-HR"/>
          </w:rPr>
          <w:t>)</w:t>
        </w:r>
      </w:hyperlink>
      <w:r w:rsidRPr="005203CE">
        <w:rPr>
          <w:rFonts w:eastAsia="Times New Roman" w:cs="Times New Roman"/>
          <w:color w:val="000000"/>
          <w:szCs w:val="24"/>
          <w:lang w:eastAsia="hr-HR"/>
        </w:rPr>
        <w:t xml:space="preserve"> se u zakonodavstvo EU-a prenose odredbe </w:t>
      </w:r>
      <w:proofErr w:type="spellStart"/>
      <w:r w:rsidRPr="005203CE">
        <w:rPr>
          <w:rFonts w:eastAsia="Times New Roman" w:cs="Times New Roman"/>
          <w:color w:val="000000"/>
          <w:szCs w:val="24"/>
          <w:lang w:eastAsia="hr-HR"/>
        </w:rPr>
        <w:t>Baselske</w:t>
      </w:r>
      <w:proofErr w:type="spellEnd"/>
      <w:r w:rsidRPr="005203CE">
        <w:rPr>
          <w:rFonts w:eastAsia="Times New Roman" w:cs="Times New Roman"/>
          <w:color w:val="000000"/>
          <w:szCs w:val="24"/>
          <w:lang w:eastAsia="hr-HR"/>
        </w:rPr>
        <w:t xml:space="preserve"> konvencije i Odluke OECD-a C(2001)107/</w:t>
      </w:r>
      <w:proofErr w:type="spellStart"/>
      <w:r w:rsidRPr="005203CE">
        <w:rPr>
          <w:rFonts w:eastAsia="Times New Roman" w:cs="Times New Roman"/>
          <w:color w:val="000000"/>
          <w:szCs w:val="24"/>
          <w:lang w:eastAsia="hr-HR"/>
        </w:rPr>
        <w:t>Final</w:t>
      </w:r>
      <w:proofErr w:type="spellEnd"/>
      <w:r w:rsidRPr="005203CE">
        <w:rPr>
          <w:rFonts w:eastAsia="Times New Roman" w:cs="Times New Roman"/>
          <w:color w:val="000000"/>
          <w:szCs w:val="24"/>
          <w:lang w:eastAsia="hr-HR"/>
        </w:rPr>
        <w:t xml:space="preserve">. Tom se uredbom, koja se izravno primjenjuje u svim državama članicama, </w:t>
      </w:r>
      <w:r w:rsidRPr="005203CE">
        <w:rPr>
          <w:rFonts w:eastAsia="Times New Roman" w:cs="Times New Roman"/>
          <w:color w:val="000000"/>
          <w:szCs w:val="24"/>
          <w:lang w:eastAsia="hr-HR"/>
        </w:rPr>
        <w:lastRenderedPageBreak/>
        <w:t>utvrđuju postupci, uvjeti i zahtjevi koje treba ispuniti kad je riječ o prekograničnim pošiljkama otpada, uključujući pošiljke između država članica. U skladu s člancima 34. i 36. Uredbe o pošiljkama otpada zabranjeni su izvoz otpada za odlaganje izvan područja EU-a/EFTA-e te izvoz opasnog otpada iz EU-a u bilo koju zemlju na koju se ne primjenjuje Odluka OECD-a.</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Postoje dva kontrolna postupka za pošiljke otpada, točnije:</w:t>
      </w: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b/>
                <w:bCs/>
                <w:color w:val="000000"/>
                <w:szCs w:val="24"/>
                <w:lang w:eastAsia="hr-HR"/>
              </w:rPr>
              <w:t>opći zahtjevi za dostavu informacija</w:t>
            </w:r>
            <w:r w:rsidRPr="005203CE">
              <w:rPr>
                <w:rFonts w:ascii="inherit" w:eastAsia="Times New Roman" w:hAnsi="inherit" w:cs="Times New Roman"/>
                <w:color w:val="000000"/>
                <w:szCs w:val="24"/>
                <w:lang w:eastAsia="hr-HR"/>
              </w:rPr>
              <w:t> iz članka 18., koji se obično primjenjuju na pošiljke za </w:t>
            </w:r>
            <w:r w:rsidRPr="005203CE">
              <w:rPr>
                <w:rFonts w:ascii="inherit" w:eastAsia="Times New Roman" w:hAnsi="inherit" w:cs="Times New Roman"/>
                <w:b/>
                <w:bCs/>
                <w:color w:val="000000"/>
                <w:szCs w:val="24"/>
                <w:lang w:eastAsia="hr-HR"/>
              </w:rPr>
              <w:t>oporabu</w:t>
            </w:r>
            <w:r w:rsidRPr="005203CE">
              <w:rPr>
                <w:rFonts w:ascii="inherit" w:eastAsia="Times New Roman" w:hAnsi="inherit" w:cs="Times New Roman"/>
                <w:color w:val="000000"/>
                <w:szCs w:val="24"/>
                <w:lang w:eastAsia="hr-HR"/>
              </w:rPr>
              <w:t> otpada navedenog u prilogu III. („zeleni” popis otpada) ili III.A i</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postupak </w:t>
            </w:r>
            <w:r w:rsidRPr="005203CE">
              <w:rPr>
                <w:rFonts w:ascii="inherit" w:eastAsia="Times New Roman" w:hAnsi="inherit" w:cs="Times New Roman"/>
                <w:b/>
                <w:bCs/>
                <w:color w:val="000000"/>
                <w:szCs w:val="24"/>
                <w:lang w:eastAsia="hr-HR"/>
              </w:rPr>
              <w:t>prethodne pisane obavijesti i odobrenja</w:t>
            </w:r>
            <w:r w:rsidRPr="005203CE">
              <w:rPr>
                <w:rFonts w:ascii="inherit" w:eastAsia="Times New Roman" w:hAnsi="inherit" w:cs="Times New Roman"/>
                <w:color w:val="000000"/>
                <w:szCs w:val="24"/>
                <w:lang w:eastAsia="hr-HR"/>
              </w:rPr>
              <w:t> za bilo koju drugu vrstu pošiljke otpada.</w:t>
            </w:r>
          </w:p>
        </w:tc>
      </w:tr>
    </w:tbl>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U kontekstu identifikacije otpada za potrebe ispravnog postupka i dokumentacije primjenjuje se razvrstavanje prema popisima iz priloga III. i IV. Uredbi o pošiljkama otpada (uključuje popise iz međunarodnih sporazuma). Pristup razvrstavanju koji se primjenjuje za te popise razlikuje se od onoga za Popis otpada.</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 xml:space="preserve">Međutim, razvrstavanje u skladu s ODO-om i Popisom otpada važno je i u kontekstu Uredbe o pošiljkama otpada, primjerice kao kriterij smije li se otpad izvoziti u određene zemlje koje nisu članice EU-a ni OECD-a (članak 36. stavak 1. Uredbe o pošiljkama otpada). Razvrstavanje otpada u skladu s unosima iz priloga III. i IV. (tj. </w:t>
      </w:r>
      <w:proofErr w:type="spellStart"/>
      <w:r w:rsidRPr="005203CE">
        <w:rPr>
          <w:rFonts w:eastAsia="Times New Roman" w:cs="Times New Roman"/>
          <w:color w:val="000000"/>
          <w:szCs w:val="24"/>
          <w:lang w:eastAsia="hr-HR"/>
        </w:rPr>
        <w:t>Baselskom</w:t>
      </w:r>
      <w:proofErr w:type="spellEnd"/>
      <w:r w:rsidRPr="005203CE">
        <w:rPr>
          <w:rFonts w:eastAsia="Times New Roman" w:cs="Times New Roman"/>
          <w:color w:val="000000"/>
          <w:szCs w:val="24"/>
          <w:lang w:eastAsia="hr-HR"/>
        </w:rPr>
        <w:t xml:space="preserve"> konvencijom i oznakama OECD-a) te s unosima iz Popisa otpada (dio 2. Priloga V. Uredbi o pošiljkama otpada) potrebno je navesti na obrascu obavijesti i dokumentu o prometu koji se upotrebljava u okviru postupka obavješćivanja i u skladu s uputama iz točke 25. Priloga I.C. Isto tako, u slučaju pošiljki koje podliježu općim zahtjevima za dostavu informacija iz članka 18. otpad je potrebno identificirati na dokumentu koji se izdaje u skladu s Prilogom VII.</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 xml:space="preserve">Za pošiljke otpada koje podliježu postupku prethodne pisane obavijesti i odobrenja na obrascu obavijesti i dokumentu o prometu (prilozi I.A i I.B) upotrebljavaju se oznake za opasna svojstva (oznake H) i obradu (oznake D i R) utvrđene u Prilogu III. odnosno Prilogu IV. </w:t>
      </w:r>
      <w:proofErr w:type="spellStart"/>
      <w:r w:rsidRPr="005203CE">
        <w:rPr>
          <w:rFonts w:eastAsia="Times New Roman" w:cs="Times New Roman"/>
          <w:color w:val="000000"/>
          <w:szCs w:val="24"/>
          <w:lang w:eastAsia="hr-HR"/>
        </w:rPr>
        <w:t>Baselskoj</w:t>
      </w:r>
      <w:proofErr w:type="spellEnd"/>
      <w:r w:rsidRPr="005203CE">
        <w:rPr>
          <w:rFonts w:eastAsia="Times New Roman" w:cs="Times New Roman"/>
          <w:color w:val="000000"/>
          <w:szCs w:val="24"/>
          <w:lang w:eastAsia="hr-HR"/>
        </w:rPr>
        <w:t xml:space="preserve"> konvenciji.</w:t>
      </w:r>
    </w:p>
    <w:p w:rsidR="005203CE" w:rsidRPr="005203CE" w:rsidRDefault="005203CE" w:rsidP="005203CE">
      <w:pPr>
        <w:spacing w:before="240" w:after="120" w:line="240" w:lineRule="auto"/>
        <w:jc w:val="both"/>
        <w:rPr>
          <w:rFonts w:eastAsia="Times New Roman" w:cs="Times New Roman"/>
          <w:b/>
          <w:bCs/>
          <w:color w:val="000000"/>
          <w:szCs w:val="24"/>
          <w:lang w:eastAsia="hr-HR"/>
        </w:rPr>
      </w:pPr>
      <w:r w:rsidRPr="005203CE">
        <w:rPr>
          <w:rFonts w:eastAsia="Times New Roman" w:cs="Times New Roman"/>
          <w:b/>
          <w:bCs/>
          <w:color w:val="000000"/>
          <w:szCs w:val="24"/>
          <w:lang w:eastAsia="hr-HR"/>
        </w:rPr>
        <w:t>2.1.4.   </w:t>
      </w:r>
      <w:r w:rsidRPr="005203CE">
        <w:rPr>
          <w:rFonts w:ascii="inherit" w:eastAsia="Times New Roman" w:hAnsi="inherit" w:cs="Times New Roman"/>
          <w:b/>
          <w:bCs/>
          <w:i/>
          <w:iCs/>
          <w:color w:val="000000"/>
          <w:szCs w:val="24"/>
          <w:lang w:eastAsia="hr-HR"/>
        </w:rPr>
        <w:t>Direktiva o odlagalištima</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5203CE" w:rsidRPr="005203CE" w:rsidTr="005203C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Direktiva o odlagalištima sadržava pravila o upravljanju odlagalištima otpada te uvjetima dozvole za odlagališta otpada, njihovu zatvaranju i naknadnom održavanju. U Odluci Vijeća 2003/33/EZ utvrđeni su kriteriji za prihvat otpada na različite kategorije odlagališta navedene u Direktivi o odlagalištima.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Analize koje se provode u okviru kriterija za prihvat otpada obično ne mogu poslužiti za razvrstavanje otpada prema Popisu otpada.</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277"/>
        <w:gridCol w:w="6795"/>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Okvir 5.:</w:t>
            </w:r>
          </w:p>
        </w:tc>
        <w:tc>
          <w:tcPr>
            <w:tcW w:w="0" w:type="auto"/>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b/>
                <w:bCs/>
                <w:color w:val="000000"/>
                <w:szCs w:val="24"/>
                <w:lang w:eastAsia="hr-HR"/>
              </w:rPr>
              <w:t>Direktiva o odlagalištima</w:t>
            </w:r>
          </w:p>
        </w:tc>
      </w:tr>
    </w:tbl>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Direktiva 1999/31/EZ o odlagalištima otpada („Direktiva o odlagalištima”)</w:t>
      </w:r>
      <w:hyperlink r:id="rId18" w:anchor="ntr14-C_2018124HR.01000101-E0014"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14</w:t>
        </w:r>
        <w:r w:rsidRPr="005203CE">
          <w:rPr>
            <w:rFonts w:ascii="inherit" w:eastAsia="Times New Roman" w:hAnsi="inherit" w:cs="Times New Roman"/>
            <w:color w:val="0000FF"/>
            <w:szCs w:val="24"/>
            <w:u w:val="single"/>
            <w:lang w:eastAsia="hr-HR"/>
          </w:rPr>
          <w:t>)</w:t>
        </w:r>
      </w:hyperlink>
      <w:r w:rsidRPr="005203CE">
        <w:rPr>
          <w:rFonts w:eastAsia="Times New Roman" w:cs="Times New Roman"/>
          <w:color w:val="000000"/>
          <w:szCs w:val="24"/>
          <w:lang w:eastAsia="hr-HR"/>
        </w:rPr>
        <w:t> sadržava pravila o upravljanju odlagalištima otpada te uvjetima dozvole za odlagališta otpada, njihovu zatvaranju i naknadnom održavanju. U Odluci Vijeća 2003/33/EZ utvrđeni su kriteriji za prihvat otpada na različite kategorije odlagališta navedene u Direktivi o odlagalištima.</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 xml:space="preserve">Razvrstavanje otpada kao opasnog u skladu s Popisom otpada i Prilogom III. ODO-u važno je i za potrebe Direktive o odlagalištima jer bi se opasni otpad u pravilu trebao odlagati na odlagališta opasnog otpada, a neopasni bi se otpad trebao odlagati na odlagališta neopasnog ili inertnog otpada. Stabilan, </w:t>
      </w:r>
      <w:proofErr w:type="spellStart"/>
      <w:r w:rsidRPr="005203CE">
        <w:rPr>
          <w:rFonts w:eastAsia="Times New Roman" w:cs="Times New Roman"/>
          <w:color w:val="000000"/>
          <w:szCs w:val="24"/>
          <w:lang w:eastAsia="hr-HR"/>
        </w:rPr>
        <w:t>nereaktivan</w:t>
      </w:r>
      <w:proofErr w:type="spellEnd"/>
      <w:r w:rsidRPr="005203CE">
        <w:rPr>
          <w:rFonts w:eastAsia="Times New Roman" w:cs="Times New Roman"/>
          <w:color w:val="000000"/>
          <w:szCs w:val="24"/>
          <w:lang w:eastAsia="hr-HR"/>
        </w:rPr>
        <w:t xml:space="preserve"> opasni otpad može se odlagati na odlagališta neopasnog </w:t>
      </w:r>
      <w:r w:rsidRPr="005203CE">
        <w:rPr>
          <w:rFonts w:eastAsia="Times New Roman" w:cs="Times New Roman"/>
          <w:color w:val="000000"/>
          <w:szCs w:val="24"/>
          <w:lang w:eastAsia="hr-HR"/>
        </w:rPr>
        <w:lastRenderedPageBreak/>
        <w:t>otpada ako su ispunjeni uvjeti iz Priloga II. Direktivi o odlagalištima i kriteriji za prihvat otpada. U Dodatku B Odluci Vijeća 2003/33/EZ jasno je navedeno koja je uloga „osnovne karakterizacije” te je objašnjeno kako proizašli zaključci o opasnim svojstvima utječu na prihvat otpada na odlagališta. Taj je pristup ilustriran na slici 1. u Dodatku B.</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Međutim, razvrstavanje otpada kao opasnog ili neopasnog prema načelima ODO-a i u skladu s Popisom otpada ne smije se miješati s procjenom otpada radi utvrđivanja usklađenosti s kriterijima za prihvat otpada, kako je utvrđeno u Prilogu II. Direktivi o odlagalištima i Odluci Vijeća 2003/33/EZ (Odluka o kriterijima za prihvat otpada).</w:t>
      </w:r>
    </w:p>
    <w:p w:rsidR="005203CE" w:rsidRPr="005203CE" w:rsidRDefault="005203CE" w:rsidP="005203CE">
      <w:pPr>
        <w:spacing w:before="240" w:after="120" w:line="240" w:lineRule="auto"/>
        <w:jc w:val="both"/>
        <w:rPr>
          <w:rFonts w:eastAsia="Times New Roman" w:cs="Times New Roman"/>
          <w:b/>
          <w:bCs/>
          <w:color w:val="000000"/>
          <w:szCs w:val="24"/>
          <w:lang w:eastAsia="hr-HR"/>
        </w:rPr>
      </w:pPr>
      <w:r w:rsidRPr="005203CE">
        <w:rPr>
          <w:rFonts w:eastAsia="Times New Roman" w:cs="Times New Roman"/>
          <w:b/>
          <w:bCs/>
          <w:color w:val="000000"/>
          <w:szCs w:val="24"/>
          <w:lang w:eastAsia="hr-HR"/>
        </w:rPr>
        <w:t>2.1.5.   </w:t>
      </w:r>
      <w:r w:rsidRPr="005203CE">
        <w:rPr>
          <w:rFonts w:ascii="inherit" w:eastAsia="Times New Roman" w:hAnsi="inherit" w:cs="Times New Roman"/>
          <w:b/>
          <w:bCs/>
          <w:i/>
          <w:iCs/>
          <w:color w:val="000000"/>
          <w:szCs w:val="24"/>
          <w:lang w:eastAsia="hr-HR"/>
        </w:rPr>
        <w:t>Direktiva o gospodarenju otpadom od industrija vađenja minerala (Direktiva o otpadu od vađenja minerala)</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5203CE" w:rsidRPr="005203CE" w:rsidTr="005203C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Direktivom o otpadu od vađenja minerala uspostavljen je okvir za pravilno gospodarenje otpadom od industrija vađenja minerala.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Opasna svojstva otpada od industrija vađenja minerala trebalo bi razvrstati u skladu s Popisom otpada iako su isključena iz područja primjene ODO-a.</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583"/>
        <w:gridCol w:w="7489"/>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Okvir 6.:</w:t>
            </w:r>
          </w:p>
        </w:tc>
        <w:tc>
          <w:tcPr>
            <w:tcW w:w="0" w:type="auto"/>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b/>
                <w:bCs/>
                <w:color w:val="000000"/>
                <w:szCs w:val="24"/>
                <w:lang w:eastAsia="hr-HR"/>
              </w:rPr>
              <w:t>Direktiva o otpadu od vađenja minerala</w:t>
            </w:r>
          </w:p>
        </w:tc>
      </w:tr>
    </w:tbl>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Cilj je Direktive 2006/21/EZ o gospodarenju otpadom od industrija vađenja minerala (dalje u tekstu „Direktiva o otpadu od vađenja minerala”)</w:t>
      </w:r>
      <w:hyperlink r:id="rId19" w:anchor="ntr15-C_2018124HR.01000101-E0015"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15</w:t>
        </w:r>
        <w:r w:rsidRPr="005203CE">
          <w:rPr>
            <w:rFonts w:ascii="inherit" w:eastAsia="Times New Roman" w:hAnsi="inherit" w:cs="Times New Roman"/>
            <w:color w:val="0000FF"/>
            <w:szCs w:val="24"/>
            <w:u w:val="single"/>
            <w:lang w:eastAsia="hr-HR"/>
          </w:rPr>
          <w:t>)</w:t>
        </w:r>
      </w:hyperlink>
      <w:r w:rsidRPr="005203CE">
        <w:rPr>
          <w:rFonts w:eastAsia="Times New Roman" w:cs="Times New Roman"/>
          <w:color w:val="000000"/>
          <w:szCs w:val="24"/>
          <w:lang w:eastAsia="hr-HR"/>
        </w:rPr>
        <w:t> osigurati da se otpadom od industrija vađenja minerala upravlja tako da se spriječe ili što više smanje svi negativni učinci na okoliš i bilo kakvi posljedični rizici za zdravlje ljudi. Iako je otpad od industrija vađenja materijala koji je obuhvaćen Direktivom o otpadu od vađenja materijala izrijekom isključen iz područja primjene ODO-a (članak 2. stavak 2. točka (d) ODO-a), razvrstavanje prema Popisu otpada ipak je važno: operateri moraju u skladu s Direktivom o otpadu od vađenja minerala izraditi plan gospodarenja otpadom u kojem se utvrđuju potrebne mjere za pravilno upravljanje odgovarajućim otpadom. U skladu s planom gospodarenja otpadom opasna svojstva otpada od industrija vađenja minerala trebalo bi razvrstati u skladu s kriterijima Popisa otpada.</w:t>
      </w:r>
    </w:p>
    <w:p w:rsidR="005203CE" w:rsidRPr="005203CE" w:rsidRDefault="005203CE" w:rsidP="005203CE">
      <w:pPr>
        <w:spacing w:before="240" w:after="120" w:line="240" w:lineRule="auto"/>
        <w:jc w:val="both"/>
        <w:rPr>
          <w:rFonts w:eastAsia="Times New Roman" w:cs="Times New Roman"/>
          <w:b/>
          <w:bCs/>
          <w:color w:val="000000"/>
          <w:szCs w:val="24"/>
          <w:lang w:eastAsia="hr-HR"/>
        </w:rPr>
      </w:pPr>
      <w:r w:rsidRPr="005203CE">
        <w:rPr>
          <w:rFonts w:eastAsia="Times New Roman" w:cs="Times New Roman"/>
          <w:b/>
          <w:bCs/>
          <w:color w:val="000000"/>
          <w:szCs w:val="24"/>
          <w:lang w:eastAsia="hr-HR"/>
        </w:rPr>
        <w:t>2.1.6.   </w:t>
      </w:r>
      <w:r w:rsidRPr="005203CE">
        <w:rPr>
          <w:rFonts w:ascii="inherit" w:eastAsia="Times New Roman" w:hAnsi="inherit" w:cs="Times New Roman"/>
          <w:b/>
          <w:bCs/>
          <w:i/>
          <w:iCs/>
          <w:color w:val="000000"/>
          <w:szCs w:val="24"/>
          <w:lang w:eastAsia="hr-HR"/>
        </w:rPr>
        <w:t>Uredba REACH</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5203CE" w:rsidRPr="005203CE" w:rsidTr="005203C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Uredbom REACH utvrđuju se registracija, evaluacija, autorizacija i ograničavanje kemikalija u EU-u.</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Otpad nije tvar, proizvod ili smjesa u smislu Uredbe REACH. Unatoč tome, informacije dobivene u okviru te uredbe mogu biti bitne za razvrstavanje otpada.</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3063"/>
        <w:gridCol w:w="6009"/>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Okvir 7.:</w:t>
            </w:r>
          </w:p>
        </w:tc>
        <w:tc>
          <w:tcPr>
            <w:tcW w:w="0" w:type="auto"/>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b/>
                <w:bCs/>
                <w:color w:val="000000"/>
                <w:szCs w:val="24"/>
                <w:lang w:eastAsia="hr-HR"/>
              </w:rPr>
              <w:t>Uredba REACH</w:t>
            </w:r>
          </w:p>
        </w:tc>
      </w:tr>
    </w:tbl>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Uredba (EZ) br. 1907/2006 o registraciji, evaluaciji, autorizaciji i ograničavanju kemikalija (dalje u tekstu „Uredba REACH”)</w:t>
      </w:r>
      <w:hyperlink r:id="rId20" w:anchor="ntr16-C_2018124HR.01000101-E0016"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16</w:t>
        </w:r>
        <w:r w:rsidRPr="005203CE">
          <w:rPr>
            <w:rFonts w:ascii="inherit" w:eastAsia="Times New Roman" w:hAnsi="inherit" w:cs="Times New Roman"/>
            <w:color w:val="0000FF"/>
            <w:szCs w:val="24"/>
            <w:u w:val="single"/>
            <w:lang w:eastAsia="hr-HR"/>
          </w:rPr>
          <w:t>)</w:t>
        </w:r>
      </w:hyperlink>
      <w:r w:rsidRPr="005203CE">
        <w:rPr>
          <w:rFonts w:eastAsia="Times New Roman" w:cs="Times New Roman"/>
          <w:color w:val="000000"/>
          <w:szCs w:val="24"/>
          <w:lang w:eastAsia="hr-HR"/>
        </w:rPr>
        <w:t> stupila je na snagu 2007. Uredba REACH opći je propis o kemikalijama na razini EU-a i primjenjuje se na tvari (pojedinačne, u smjesama ili proizvodima). Svrha je Uredbe REACH osigurati visoku razinu zaštite zdravlja ljudi i okoliša, uključujući promicanje alternativnih metoda za procjenu opasnosti tvari, kao i stavljanje u slobodan promet tvari na unutarnjem tržištu, te istovremeno povećati konkurentnost i inovativnost. U Uredbi REACH definiraju se i primjenjuju brojni postupci čiji je zajednički cilj osigurati sigurnu uporabu kemikalija:</w:t>
      </w: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lastRenderedPageBreak/>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registracija tvari (zahtijeva se dostava, uz određene uvjete, informacija o svojstvima i uporabama tvari Europskoj agenciji za kemikalije),</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8"/>
        <w:gridCol w:w="8824"/>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poboljšana komunikacija u lancu opskrbe putem proširenih sigurnosno-tehničkih listova,</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evaluacija tvari koju provode tijela javne vlasti radi pružanja sigurnosti u pogledu ispravnog funkcioniranja postupka registracije i kako bi se dodatno uklonile zabrinutosti zbog određenih tvari,</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345"/>
        <w:gridCol w:w="8727"/>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ograničenje uporabe tvari za koje je utvrđen neprihvatljiv rizik,</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autorizacija – primjenjuje se na određene posebno zabrinjavajuće tvari koje se mogu stavljati na tržište i upotrebljavati pod uvjetom izdavanja posebne i vremenski ograničene autorizacije, podložno određenim uvjetima.</w:t>
            </w:r>
          </w:p>
        </w:tc>
      </w:tr>
    </w:tbl>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Važno je napomenuti da se u skladu s člankom 2. stavkom 2. Uredbe REACH otpad (kako je definiran u ODO-u) ne smatra tvari, smjesom ili proizvodom u skladu s Uredbom REACH. Na temelju te uredbe ne nastaju izravne obveze za proizvođače ili posjednike otpada (iako fazu otpada treba uzeti u obzir u izvješću o kemijskoj sigurnosti koje se predaje kao dio registracijskog dosjea za tvari koje se proizvode u EU-u ili uvoze u EU u količinama većima od 10 tona godišnje).</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Međutim, informacije o kemijskim tvarima dobivene i dostavljene u okviru Uredbe REACH, osobito informacije o opasnosti, te njihova naknadna upotreba u razvrstavanju u skladu s Uredbom o razvrstavanju, označivanju i pakiranju, ključne su za razvrstavanje otpada (vidjeti Prilog 2.).</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Treba napomenuti da su ispitne metode koje se upotrebljavaju za potrebe Uredbe REACH navedene u Uredbi (EZ) br. 440/2008 („Uredba o ispitnim metodama”). Neke ispitne metode utvrđene tom uredbom ili njihove prilagođene inačice mogu se primijeniti u okviru razvrstavanja otpada.</w:t>
      </w:r>
    </w:p>
    <w:p w:rsidR="005203CE" w:rsidRPr="005203CE" w:rsidRDefault="005203CE" w:rsidP="005203CE">
      <w:pPr>
        <w:spacing w:before="240" w:after="120" w:line="240" w:lineRule="auto"/>
        <w:jc w:val="both"/>
        <w:rPr>
          <w:rFonts w:eastAsia="Times New Roman" w:cs="Times New Roman"/>
          <w:b/>
          <w:bCs/>
          <w:color w:val="000000"/>
          <w:szCs w:val="24"/>
          <w:lang w:eastAsia="hr-HR"/>
        </w:rPr>
      </w:pPr>
      <w:r w:rsidRPr="005203CE">
        <w:rPr>
          <w:rFonts w:eastAsia="Times New Roman" w:cs="Times New Roman"/>
          <w:b/>
          <w:bCs/>
          <w:color w:val="000000"/>
          <w:szCs w:val="24"/>
          <w:lang w:eastAsia="hr-HR"/>
        </w:rPr>
        <w:t>2.1.7.   </w:t>
      </w:r>
      <w:r w:rsidRPr="005203CE">
        <w:rPr>
          <w:rFonts w:ascii="inherit" w:eastAsia="Times New Roman" w:hAnsi="inherit" w:cs="Times New Roman"/>
          <w:b/>
          <w:bCs/>
          <w:i/>
          <w:iCs/>
          <w:color w:val="000000"/>
          <w:szCs w:val="24"/>
          <w:lang w:eastAsia="hr-HR"/>
        </w:rPr>
        <w:t>Uredba o razvrstavanju, označivanju i pakiranju (Uredba CLP)</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5203CE" w:rsidRPr="005203CE" w:rsidTr="005203C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Uredbom o razvrstavanju, označivanju i pakiranju utvrđuju se kriteriji za razvrstavanje tvari i smjesa u razrede opasnosti.</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Otpad se ne smatra tvari, smjesom ni proizvodom u skladu s Uredbom CLP. Međutim, opasna svojstva koja se primjenjuju na otpad povezana su s kriterijima za razvrstavanje, označivanje i pakiranje. Nadalje, razvrstavanje tvari u skladu s Uredbom CLP može biti bitno i za razvrstavanje otpada.</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3606"/>
        <w:gridCol w:w="5466"/>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Okvir 8.:</w:t>
            </w:r>
          </w:p>
        </w:tc>
        <w:tc>
          <w:tcPr>
            <w:tcW w:w="0" w:type="auto"/>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b/>
                <w:bCs/>
                <w:color w:val="000000"/>
                <w:szCs w:val="24"/>
                <w:lang w:eastAsia="hr-HR"/>
              </w:rPr>
              <w:t>Uredba CLP</w:t>
            </w:r>
          </w:p>
        </w:tc>
      </w:tr>
    </w:tbl>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U Uredbi (EZ) br. 1272/2008 o razvrstavanju, označivanju i pakiranju tvari i smjesa (dalje u tekstu „Uredba CLP”)</w:t>
      </w:r>
      <w:hyperlink r:id="rId21" w:anchor="ntr17-C_2018124HR.01000101-E0017"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17</w:t>
        </w:r>
        <w:r w:rsidRPr="005203CE">
          <w:rPr>
            <w:rFonts w:ascii="inherit" w:eastAsia="Times New Roman" w:hAnsi="inherit" w:cs="Times New Roman"/>
            <w:color w:val="0000FF"/>
            <w:szCs w:val="24"/>
            <w:u w:val="single"/>
            <w:lang w:eastAsia="hr-HR"/>
          </w:rPr>
          <w:t>)</w:t>
        </w:r>
      </w:hyperlink>
      <w:r w:rsidRPr="005203CE">
        <w:rPr>
          <w:rFonts w:eastAsia="Times New Roman" w:cs="Times New Roman"/>
          <w:color w:val="000000"/>
          <w:szCs w:val="24"/>
          <w:lang w:eastAsia="hr-HR"/>
        </w:rPr>
        <w:t> UN-ov međunarodni sustav razvrstavanja kemikalija (</w:t>
      </w:r>
      <w:proofErr w:type="spellStart"/>
      <w:r w:rsidRPr="005203CE">
        <w:rPr>
          <w:rFonts w:eastAsia="Times New Roman" w:cs="Times New Roman"/>
          <w:color w:val="000000"/>
          <w:szCs w:val="24"/>
          <w:lang w:eastAsia="hr-HR"/>
        </w:rPr>
        <w:t>Globally</w:t>
      </w:r>
      <w:proofErr w:type="spellEnd"/>
      <w:r w:rsidRPr="005203CE">
        <w:rPr>
          <w:rFonts w:eastAsia="Times New Roman" w:cs="Times New Roman"/>
          <w:color w:val="000000"/>
          <w:szCs w:val="24"/>
          <w:lang w:eastAsia="hr-HR"/>
        </w:rPr>
        <w:t xml:space="preserve"> </w:t>
      </w:r>
      <w:proofErr w:type="spellStart"/>
      <w:r w:rsidRPr="005203CE">
        <w:rPr>
          <w:rFonts w:eastAsia="Times New Roman" w:cs="Times New Roman"/>
          <w:color w:val="000000"/>
          <w:szCs w:val="24"/>
          <w:lang w:eastAsia="hr-HR"/>
        </w:rPr>
        <w:t>Harmonized</w:t>
      </w:r>
      <w:proofErr w:type="spellEnd"/>
      <w:r w:rsidRPr="005203CE">
        <w:rPr>
          <w:rFonts w:eastAsia="Times New Roman" w:cs="Times New Roman"/>
          <w:color w:val="000000"/>
          <w:szCs w:val="24"/>
          <w:lang w:eastAsia="hr-HR"/>
        </w:rPr>
        <w:t xml:space="preserve"> System – GHS) prilagođen je EU-u. U tom se kontekstu tom uredbom utvrđuju detaljni kriteriji za procjenu tvari i njihovo razvrstavanje u razrede opasnosti.</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lastRenderedPageBreak/>
        <w:t>Na sličan način kao i Uredbom REACH, člankom 1. stavkom 3. Uredbe CLP utvrđuje se da otpad nije tvar, smjesa ili proizvod. Slijedom toga, obveze na temelju Uredbe CLP ne primjenjuju se na proizvođače ili posjednike otpada.</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Iako se Prilog III. ODO-u temelji na Uredbi CLP, kriteriji utvrđeni tom uredbom nisu u njega preneseni „jedan za jedan”. Umjesto toga, kad je riječ o razvrstavanju otpada treba napomenuti da neki od kriterija za opasna svojstva iz Priloga III. ODO-u izravno upućuju na razrede i kategorije opasnosti iz Uredbe CLP te na oznake upozorenja i povezane kriterije za razvrstavanje. U mnogim se zrcalnim unosima izričito spominju „opasne tvari”. Razvrstavanje tvari provodi se u skladu s Uredbom CLP, a prisutnost opasnih tvari sadržanih u otpadu mora se procijeniti u skladu s Prilogom III. ODO-u (za pojedinosti vidjeti poglavlje 2.3.2. i Prilog 3.). Nadalje, u tablici 3.1. u dijelu 3. Priloga VI. Uredbi CLP naveden je niz službenih usklađenih razvrstavanja tvari. Ako je takvo usklađeno razvrstavanje dostupno, mora se upotrebljavati za razvrstavanje otpada (za taj određeni aspekt vidjeti odjeljak 2.1.1. Priloga 2.).</w:t>
      </w:r>
    </w:p>
    <w:p w:rsidR="005203CE" w:rsidRPr="005203CE" w:rsidRDefault="005203CE" w:rsidP="005203CE">
      <w:pPr>
        <w:spacing w:before="240" w:after="120" w:line="240" w:lineRule="auto"/>
        <w:jc w:val="both"/>
        <w:rPr>
          <w:rFonts w:eastAsia="Times New Roman" w:cs="Times New Roman"/>
          <w:b/>
          <w:bCs/>
          <w:color w:val="000000"/>
          <w:szCs w:val="24"/>
          <w:lang w:eastAsia="hr-HR"/>
        </w:rPr>
      </w:pPr>
      <w:r w:rsidRPr="005203CE">
        <w:rPr>
          <w:rFonts w:eastAsia="Times New Roman" w:cs="Times New Roman"/>
          <w:b/>
          <w:bCs/>
          <w:color w:val="000000"/>
          <w:szCs w:val="24"/>
          <w:lang w:eastAsia="hr-HR"/>
        </w:rPr>
        <w:t>2.1.8.   </w:t>
      </w:r>
      <w:r w:rsidRPr="005203CE">
        <w:rPr>
          <w:rFonts w:ascii="inherit" w:eastAsia="Times New Roman" w:hAnsi="inherit" w:cs="Times New Roman"/>
          <w:b/>
          <w:bCs/>
          <w:i/>
          <w:iCs/>
          <w:color w:val="000000"/>
          <w:szCs w:val="24"/>
          <w:lang w:eastAsia="hr-HR"/>
        </w:rPr>
        <w:t>Uredba o postojanim organskim onečišćujućim tvarima (Uredba POP)</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5203CE" w:rsidRPr="005203CE" w:rsidTr="005203C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Uredbom POP nastoji se zaštititi okoliš i zdravlje ljudi od postojanih organskih onečišćujućih tvari.</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Otpad koji sadržava određene postojane organske onečišćujuće tvari iz Priloga Popisu otpada (točka 2. treća alineja) u količini većoj od praga propisanog Uredbom POP mora se razvrstati kao opasan.</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3606"/>
        <w:gridCol w:w="5466"/>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Okvir 9.:</w:t>
            </w:r>
          </w:p>
        </w:tc>
        <w:tc>
          <w:tcPr>
            <w:tcW w:w="0" w:type="auto"/>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b/>
                <w:bCs/>
                <w:color w:val="000000"/>
                <w:szCs w:val="24"/>
                <w:lang w:eastAsia="hr-HR"/>
              </w:rPr>
              <w:t>Uredba POP</w:t>
            </w:r>
          </w:p>
        </w:tc>
      </w:tr>
    </w:tbl>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Jedan je od ciljeva Uredbe (EZ) br. 850/2004 o postojanim organskim onečišćujućim tvarima (dalje u tekstu „Uredba POP”)</w:t>
      </w:r>
      <w:hyperlink r:id="rId22" w:anchor="ntr18-C_2018124HR.01000101-E0018"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18</w:t>
        </w:r>
        <w:r w:rsidRPr="005203CE">
          <w:rPr>
            <w:rFonts w:ascii="inherit" w:eastAsia="Times New Roman" w:hAnsi="inherit" w:cs="Times New Roman"/>
            <w:color w:val="0000FF"/>
            <w:szCs w:val="24"/>
            <w:u w:val="single"/>
            <w:lang w:eastAsia="hr-HR"/>
          </w:rPr>
          <w:t>)</w:t>
        </w:r>
      </w:hyperlink>
      <w:r w:rsidRPr="005203CE">
        <w:rPr>
          <w:rFonts w:eastAsia="Times New Roman" w:cs="Times New Roman"/>
          <w:color w:val="000000"/>
          <w:szCs w:val="24"/>
          <w:lang w:eastAsia="hr-HR"/>
        </w:rPr>
        <w:t xml:space="preserve"> provedbom relevantnih međunarodnih sporazuma zaštititi okoliš i zdravlje ljudi od određenih tvari koje se prenose preko međunarodnih granica daleko od svojeg izvora, ostaju u okolišu i mogu se </w:t>
      </w:r>
      <w:proofErr w:type="spellStart"/>
      <w:r w:rsidRPr="005203CE">
        <w:rPr>
          <w:rFonts w:eastAsia="Times New Roman" w:cs="Times New Roman"/>
          <w:color w:val="000000"/>
          <w:szCs w:val="24"/>
          <w:lang w:eastAsia="hr-HR"/>
        </w:rPr>
        <w:t>bioakumulirati</w:t>
      </w:r>
      <w:proofErr w:type="spellEnd"/>
      <w:r w:rsidRPr="005203CE">
        <w:rPr>
          <w:rFonts w:eastAsia="Times New Roman" w:cs="Times New Roman"/>
          <w:color w:val="000000"/>
          <w:szCs w:val="24"/>
          <w:lang w:eastAsia="hr-HR"/>
        </w:rPr>
        <w:t xml:space="preserve"> u živim organizmima. Područje primjene Uredbe ograničeno je na tvari navedene u prilozima Uredbi.</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U skladu s člankom 7. Uredbe POP otpad koji se sastoji od postojanih organskih onečišćujućih tvari, sadržava takve tvari ili je njima onečišćen u količini većoj od određenih graničnih vrijednosti (granična vrijednost koncentracije iz članka 7. stavka 4. točke (a) – tzv. „donja granična vrijednost sadržaja postojanih organskih onečišćujućih tvari”)</w:t>
      </w:r>
      <w:hyperlink r:id="rId23" w:anchor="ntr19-C_2018124HR.01000101-E0019"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19</w:t>
        </w:r>
        <w:r w:rsidRPr="005203CE">
          <w:rPr>
            <w:rFonts w:ascii="inherit" w:eastAsia="Times New Roman" w:hAnsi="inherit" w:cs="Times New Roman"/>
            <w:color w:val="0000FF"/>
            <w:szCs w:val="24"/>
            <w:u w:val="single"/>
            <w:lang w:eastAsia="hr-HR"/>
          </w:rPr>
          <w:t>)</w:t>
        </w:r>
      </w:hyperlink>
      <w:r w:rsidRPr="005203CE">
        <w:rPr>
          <w:rFonts w:eastAsia="Times New Roman" w:cs="Times New Roman"/>
          <w:color w:val="000000"/>
          <w:szCs w:val="24"/>
          <w:lang w:eastAsia="hr-HR"/>
        </w:rPr>
        <w:t xml:space="preserve"> mora se odmah odložiti ili </w:t>
      </w:r>
      <w:proofErr w:type="spellStart"/>
      <w:r w:rsidRPr="005203CE">
        <w:rPr>
          <w:rFonts w:eastAsia="Times New Roman" w:cs="Times New Roman"/>
          <w:color w:val="000000"/>
          <w:szCs w:val="24"/>
          <w:lang w:eastAsia="hr-HR"/>
        </w:rPr>
        <w:t>oporabiti</w:t>
      </w:r>
      <w:proofErr w:type="spellEnd"/>
      <w:r w:rsidRPr="005203CE">
        <w:rPr>
          <w:rFonts w:eastAsia="Times New Roman" w:cs="Times New Roman"/>
          <w:color w:val="000000"/>
          <w:szCs w:val="24"/>
          <w:lang w:eastAsia="hr-HR"/>
        </w:rPr>
        <w:t xml:space="preserve"> u skladu s odredbama utvrđenima u Uredbi POP na način koji osigurava da se sadržaj postojanih organskih onečišćujućih tvari uništi ili nepovratno transformira tako da preostali otpad i ispuštene tvari ne pokazuju svojstva postojanih organskih onečišćujućih tvari. Zabranjuju se postupci odlaganja ili oporabe koji mogu dovesti do oporabe, recikliranja, regeneracije ili ponovne upotrebe postojanih organskih onečišćujućih tvari.</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Pri razvrstavanju zrcalnih unosa mora se, u skladu s izmjenom na temelju Odluke Komisije 2014/955/EU, uzeti u obzir postojanje određenih postojanih organskih onečišćujućih tvari. Otpad koji sadržava određene postojane organske onečišćujuće tvari (kao što je navedeno u Prilogu Popisu otpada (točka 2. treća alineja</w:t>
      </w:r>
      <w:hyperlink r:id="rId24" w:anchor="ntr20-C_2018124HR.01000101-E0020"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20</w:t>
        </w:r>
        <w:r w:rsidRPr="005203CE">
          <w:rPr>
            <w:rFonts w:ascii="inherit" w:eastAsia="Times New Roman" w:hAnsi="inherit" w:cs="Times New Roman"/>
            <w:color w:val="0000FF"/>
            <w:szCs w:val="24"/>
            <w:u w:val="single"/>
            <w:lang w:eastAsia="hr-HR"/>
          </w:rPr>
          <w:t>)</w:t>
        </w:r>
      </w:hyperlink>
      <w:r w:rsidRPr="005203CE">
        <w:rPr>
          <w:rFonts w:eastAsia="Times New Roman" w:cs="Times New Roman"/>
          <w:color w:val="000000"/>
          <w:szCs w:val="24"/>
          <w:lang w:eastAsia="hr-HR"/>
        </w:rPr>
        <w:t>) u količini većoj od pragova propisanih Uredbom POP smatra se opasnim bez daljnjeg razmatranja (vidjeti primjer u Prilogu 1., odjeljku 1.4.10.).</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Treba imati na umu sljedeće:</w:t>
      </w: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 xml:space="preserve">Ako su u otpadu prisutne postojane organske onečišćujuće tvari iz priloga Uredbi POP koje nisu izričito navedene u Prilogu Popisu otpada (točka 2. treća alineja), čak i u </w:t>
            </w:r>
            <w:r w:rsidRPr="005203CE">
              <w:rPr>
                <w:rFonts w:ascii="inherit" w:eastAsia="Times New Roman" w:hAnsi="inherit" w:cs="Times New Roman"/>
                <w:color w:val="000000"/>
                <w:szCs w:val="24"/>
                <w:lang w:eastAsia="hr-HR"/>
              </w:rPr>
              <w:lastRenderedPageBreak/>
              <w:t>koncentracijama većima od graničnih vrijednosti utvrđenih u Prilogu IV. Uredbi POP, on se ne mora automatski razvrstavati kao opasan. Razvrstavanje ovisi o razvrstavanju tvari u razred opasnosti i odluka o njemu mora se donijeti primjenom općih pravila iz Priloga III. ODO-u koja se primjenjuju na opasna svojstva od HP 1 do HP 15.</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Taj učinak na razvrstavanje postoji bez obzira na sve obveze iz Uredbe POP za proizvođače i posjednike otpada koji sadržava postojane organske onečišćujuće tvari i neovisan je od njih.</w:t>
            </w:r>
          </w:p>
        </w:tc>
      </w:tr>
    </w:tbl>
    <w:p w:rsidR="005203CE" w:rsidRPr="005203CE" w:rsidRDefault="005203CE" w:rsidP="005203CE">
      <w:pPr>
        <w:spacing w:before="240" w:after="120" w:line="240" w:lineRule="auto"/>
        <w:jc w:val="both"/>
        <w:rPr>
          <w:rFonts w:eastAsia="Times New Roman" w:cs="Times New Roman"/>
          <w:b/>
          <w:bCs/>
          <w:color w:val="000000"/>
          <w:szCs w:val="24"/>
          <w:lang w:eastAsia="hr-HR"/>
        </w:rPr>
      </w:pPr>
      <w:r w:rsidRPr="005203CE">
        <w:rPr>
          <w:rFonts w:eastAsia="Times New Roman" w:cs="Times New Roman"/>
          <w:b/>
          <w:bCs/>
          <w:color w:val="000000"/>
          <w:szCs w:val="24"/>
          <w:lang w:eastAsia="hr-HR"/>
        </w:rPr>
        <w:t>2.1.9.   </w:t>
      </w:r>
      <w:r w:rsidRPr="005203CE">
        <w:rPr>
          <w:rFonts w:ascii="inherit" w:eastAsia="Times New Roman" w:hAnsi="inherit" w:cs="Times New Roman"/>
          <w:b/>
          <w:bCs/>
          <w:i/>
          <w:iCs/>
          <w:color w:val="000000"/>
          <w:szCs w:val="24"/>
          <w:lang w:eastAsia="hr-HR"/>
        </w:rPr>
        <w:t xml:space="preserve">Direktiva </w:t>
      </w:r>
      <w:proofErr w:type="spellStart"/>
      <w:r w:rsidRPr="005203CE">
        <w:rPr>
          <w:rFonts w:ascii="inherit" w:eastAsia="Times New Roman" w:hAnsi="inherit" w:cs="Times New Roman"/>
          <w:b/>
          <w:bCs/>
          <w:i/>
          <w:iCs/>
          <w:color w:val="000000"/>
          <w:szCs w:val="24"/>
          <w:lang w:eastAsia="hr-HR"/>
        </w:rPr>
        <w:t>Seveso</w:t>
      </w:r>
      <w:proofErr w:type="spellEnd"/>
      <w:r w:rsidRPr="005203CE">
        <w:rPr>
          <w:rFonts w:ascii="inherit" w:eastAsia="Times New Roman" w:hAnsi="inherit" w:cs="Times New Roman"/>
          <w:b/>
          <w:bCs/>
          <w:i/>
          <w:iCs/>
          <w:color w:val="000000"/>
          <w:szCs w:val="24"/>
          <w:lang w:eastAsia="hr-HR"/>
        </w:rPr>
        <w:t> III</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5203CE" w:rsidRPr="005203CE" w:rsidTr="005203C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 xml:space="preserve">Cilj je Direktive </w:t>
            </w:r>
            <w:proofErr w:type="spellStart"/>
            <w:r w:rsidRPr="005203CE">
              <w:rPr>
                <w:rFonts w:ascii="inherit" w:eastAsia="Times New Roman" w:hAnsi="inherit" w:cs="Times New Roman"/>
                <w:i/>
                <w:iCs/>
                <w:color w:val="000000"/>
                <w:szCs w:val="24"/>
                <w:lang w:eastAsia="hr-HR"/>
              </w:rPr>
              <w:t>Seveso</w:t>
            </w:r>
            <w:proofErr w:type="spellEnd"/>
            <w:r w:rsidRPr="005203CE">
              <w:rPr>
                <w:rFonts w:ascii="inherit" w:eastAsia="Times New Roman" w:hAnsi="inherit" w:cs="Times New Roman"/>
                <w:i/>
                <w:iCs/>
                <w:color w:val="000000"/>
                <w:szCs w:val="24"/>
                <w:lang w:eastAsia="hr-HR"/>
              </w:rPr>
              <w:t> III sprečavanje velikih nesreća koje uključuju opasne tvari i ograničavanje njihovih posljedica za okoliš i zdravlje ljudi.</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Ta se direktiva primjenjuje i na otpad. Operateri koji rukuju otpadom koji sadržava opasne tvari u količinama većima od određenih pragova moraju ga razvrstati na temelju njegovih svojstava kao mješavine. U relevantnim izvorima informacija može biti navedeno razvrstavanje u skladu sa zakonodavstvom EU-a o otpadu.</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944"/>
        <w:gridCol w:w="6128"/>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Okvir 10.:</w:t>
            </w:r>
          </w:p>
        </w:tc>
        <w:tc>
          <w:tcPr>
            <w:tcW w:w="0" w:type="auto"/>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b/>
                <w:bCs/>
                <w:color w:val="000000"/>
                <w:szCs w:val="24"/>
                <w:lang w:eastAsia="hr-HR"/>
              </w:rPr>
              <w:t xml:space="preserve">Direktiva </w:t>
            </w:r>
            <w:proofErr w:type="spellStart"/>
            <w:r w:rsidRPr="005203CE">
              <w:rPr>
                <w:rFonts w:ascii="inherit" w:eastAsia="Times New Roman" w:hAnsi="inherit" w:cs="Times New Roman"/>
                <w:b/>
                <w:bCs/>
                <w:color w:val="000000"/>
                <w:szCs w:val="24"/>
                <w:lang w:eastAsia="hr-HR"/>
              </w:rPr>
              <w:t>Seveso</w:t>
            </w:r>
            <w:proofErr w:type="spellEnd"/>
            <w:r w:rsidRPr="005203CE">
              <w:rPr>
                <w:rFonts w:ascii="inherit" w:eastAsia="Times New Roman" w:hAnsi="inherit" w:cs="Times New Roman"/>
                <w:b/>
                <w:bCs/>
                <w:color w:val="000000"/>
                <w:szCs w:val="24"/>
                <w:lang w:eastAsia="hr-HR"/>
              </w:rPr>
              <w:t> III</w:t>
            </w:r>
          </w:p>
        </w:tc>
      </w:tr>
    </w:tbl>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 xml:space="preserve">Glavni je cilj Direktive 2012/18/EU o kontroli opasnosti od velikih nesreća koje uključuju opasne tvari („Direktiva </w:t>
      </w:r>
      <w:proofErr w:type="spellStart"/>
      <w:r w:rsidRPr="005203CE">
        <w:rPr>
          <w:rFonts w:eastAsia="Times New Roman" w:cs="Times New Roman"/>
          <w:color w:val="000000"/>
          <w:szCs w:val="24"/>
          <w:lang w:eastAsia="hr-HR"/>
        </w:rPr>
        <w:t>Seveso</w:t>
      </w:r>
      <w:proofErr w:type="spellEnd"/>
      <w:r w:rsidRPr="005203CE">
        <w:rPr>
          <w:rFonts w:eastAsia="Times New Roman" w:cs="Times New Roman"/>
          <w:color w:val="000000"/>
          <w:szCs w:val="24"/>
          <w:lang w:eastAsia="hr-HR"/>
        </w:rPr>
        <w:t> III”)</w:t>
      </w:r>
      <w:hyperlink r:id="rId25" w:anchor="ntr21-C_2018124HR.01000101-E0021"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21</w:t>
        </w:r>
        <w:r w:rsidRPr="005203CE">
          <w:rPr>
            <w:rFonts w:ascii="inherit" w:eastAsia="Times New Roman" w:hAnsi="inherit" w:cs="Times New Roman"/>
            <w:color w:val="0000FF"/>
            <w:szCs w:val="24"/>
            <w:u w:val="single"/>
            <w:lang w:eastAsia="hr-HR"/>
          </w:rPr>
          <w:t>)</w:t>
        </w:r>
      </w:hyperlink>
      <w:r w:rsidRPr="005203CE">
        <w:rPr>
          <w:rFonts w:eastAsia="Times New Roman" w:cs="Times New Roman"/>
          <w:color w:val="000000"/>
          <w:szCs w:val="24"/>
          <w:lang w:eastAsia="hr-HR"/>
        </w:rPr>
        <w:t> sprečavanje velikih nesreća koje uključuju opasne tvari i ograničavanje njihovih posljedica za zdravlje ljudi i okoliš, čime se na usklađen i učinkovit način nastoji osigurati visoka razine zaštite u cijeloj Uniji.</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Operateri koji rade s opasnim tvarima u količinama većima od određenih pragova dužni su poduzeti sve potrebne mjere za sprečavanje velikih nesreća i ograničavanje njihovih posljedica. Zahtjevi uključuju informiranje građana koji bi mogli biti pogođeni nesrećom, podnošenje izvješća o sigurnosti, uspostavu sustava upravljanja sigurnošću i izradu unutarnjih interventnih planova. Države članice moraju, među ostalim, izraditi interventne planove za okolna područja i planirati mjere ublažavanja posljedica.</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 xml:space="preserve">Direktiva </w:t>
      </w:r>
      <w:proofErr w:type="spellStart"/>
      <w:r w:rsidRPr="005203CE">
        <w:rPr>
          <w:rFonts w:eastAsia="Times New Roman" w:cs="Times New Roman"/>
          <w:color w:val="000000"/>
          <w:szCs w:val="24"/>
          <w:lang w:eastAsia="hr-HR"/>
        </w:rPr>
        <w:t>Seveso</w:t>
      </w:r>
      <w:proofErr w:type="spellEnd"/>
      <w:r w:rsidRPr="005203CE">
        <w:rPr>
          <w:rFonts w:eastAsia="Times New Roman" w:cs="Times New Roman"/>
          <w:color w:val="000000"/>
          <w:szCs w:val="24"/>
          <w:lang w:eastAsia="hr-HR"/>
        </w:rPr>
        <w:t xml:space="preserve"> III primjenjuje se i na otpad, ali su iz njezina područja primjene isključena odlagališta otpada, uključujući podzemno skladištenje otpada. U bilješci 5. Priloga I. Direktivi </w:t>
      </w:r>
      <w:proofErr w:type="spellStart"/>
      <w:r w:rsidRPr="005203CE">
        <w:rPr>
          <w:rFonts w:eastAsia="Times New Roman" w:cs="Times New Roman"/>
          <w:color w:val="000000"/>
          <w:szCs w:val="24"/>
          <w:lang w:eastAsia="hr-HR"/>
        </w:rPr>
        <w:t>Seveso</w:t>
      </w:r>
      <w:proofErr w:type="spellEnd"/>
      <w:r w:rsidRPr="005203CE">
        <w:rPr>
          <w:rFonts w:eastAsia="Times New Roman" w:cs="Times New Roman"/>
          <w:color w:val="000000"/>
          <w:szCs w:val="24"/>
          <w:lang w:eastAsia="hr-HR"/>
        </w:rPr>
        <w:t> III upućuje se na Uredbu (EZ) br. 1272/2008 o razvrstavanju, označivanju i pakiranju tvari te se izričito spominje otpad:</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„Opasne tvari koje nisu obuhvaćene Uredbom (EZ) br. 1272/2008, uključujući otpad, ali koje su ipak prisutne ili bi mogle biti prisutne u objektu i koje, pod postojećim uvjetima u objektu, imaju ili bi mogle imati jednaka svojstva u smislu mogućnosti velike nesreće, privremeno se dodjeljuju najsličnijoj kategoriji ili imenovanoj opasnoj tvari koja je obuhvaćena područjem primjene ove Direktive.”</w:t>
      </w:r>
    </w:p>
    <w:p w:rsidR="005203CE" w:rsidRPr="005203CE" w:rsidRDefault="005203CE" w:rsidP="005203CE">
      <w:pPr>
        <w:spacing w:before="240" w:after="120" w:line="240" w:lineRule="auto"/>
        <w:jc w:val="both"/>
        <w:rPr>
          <w:rFonts w:eastAsia="Times New Roman" w:cs="Times New Roman"/>
          <w:b/>
          <w:bCs/>
          <w:color w:val="000000"/>
          <w:szCs w:val="24"/>
          <w:lang w:eastAsia="hr-HR"/>
        </w:rPr>
      </w:pPr>
      <w:r w:rsidRPr="005203CE">
        <w:rPr>
          <w:rFonts w:eastAsia="Times New Roman" w:cs="Times New Roman"/>
          <w:b/>
          <w:bCs/>
          <w:color w:val="000000"/>
          <w:szCs w:val="24"/>
          <w:lang w:eastAsia="hr-HR"/>
        </w:rPr>
        <w:t>3.   </w:t>
      </w:r>
      <w:r w:rsidRPr="005203CE">
        <w:rPr>
          <w:rFonts w:ascii="inherit" w:eastAsia="Times New Roman" w:hAnsi="inherit" w:cs="Times New Roman"/>
          <w:b/>
          <w:bCs/>
          <w:color w:val="000000"/>
          <w:szCs w:val="24"/>
          <w:lang w:eastAsia="hr-HR"/>
        </w:rPr>
        <w:t>POSTUPCI RAZVRSTAVANJA OTPADA</w:t>
      </w:r>
    </w:p>
    <w:p w:rsidR="005203CE" w:rsidRPr="005203CE" w:rsidRDefault="005203CE" w:rsidP="005203CE">
      <w:pPr>
        <w:spacing w:before="240" w:after="120" w:line="240" w:lineRule="auto"/>
        <w:jc w:val="both"/>
        <w:rPr>
          <w:rFonts w:eastAsia="Times New Roman" w:cs="Times New Roman"/>
          <w:b/>
          <w:bCs/>
          <w:color w:val="000000"/>
          <w:szCs w:val="24"/>
          <w:lang w:eastAsia="hr-HR"/>
        </w:rPr>
      </w:pPr>
      <w:r w:rsidRPr="005203CE">
        <w:rPr>
          <w:rFonts w:eastAsia="Times New Roman" w:cs="Times New Roman"/>
          <w:b/>
          <w:bCs/>
          <w:color w:val="000000"/>
          <w:szCs w:val="24"/>
          <w:lang w:eastAsia="hr-HR"/>
        </w:rPr>
        <w:t>3.1.   </w:t>
      </w:r>
      <w:r w:rsidRPr="005203CE">
        <w:rPr>
          <w:rFonts w:ascii="inherit" w:eastAsia="Times New Roman" w:hAnsi="inherit" w:cs="Times New Roman"/>
          <w:b/>
          <w:bCs/>
          <w:color w:val="000000"/>
          <w:szCs w:val="24"/>
          <w:lang w:eastAsia="hr-HR"/>
        </w:rPr>
        <w:t>Opći pristup razvrstavanju otpada</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Procjena i razvrstavanje otpada vrše se nakon uzimanja reprezentativnog uzorka za svaki tok otpada koji proizvođač proizvede. Ako postoji više od jedne vrste otpada, svaku bi trebalo procijeniti zasebno. Time se osigurava da se proizvod ili serija opasnog otpada:</w:t>
      </w: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pogrešno ne razvrsta kao neopasna zbog miješanja (razrjeđivanja) s drugim vrstama otpada (vidjeti članak 7. stavak 4. ODO-a),</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identificira na vrijeme kako bi se spriječilo miješanje s drugim otpadom, npr. u kanti za smeće, vreći za smeće, skladištu ili kontejneru (vidjeti članak 18. ODO-a).</w:t>
            </w:r>
          </w:p>
        </w:tc>
      </w:tr>
    </w:tbl>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Od tih je zahtjeva izuzet jedino miješani komunalni otpad iz domaćinstava.</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U sljedećem je poglavlju i dijagramu toka (usp. Figure 2) prikazan opći pristup razvrstavanju otpada. U dijagramu toka navedena su upućivanja:</w:t>
      </w: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na odgovarajuće poglavlje ovog dokumenta u kojem se daje opće objašnjenje tog koraka razvrstavanja te</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63"/>
        <w:gridCol w:w="8809"/>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na odgovarajući prilog ovom dokumentu u kojem su navedene detaljne informacije.</w:t>
            </w:r>
          </w:p>
        </w:tc>
      </w:tr>
    </w:tbl>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Provedbom prvih dvaju koraka opisanih u nastavku trebalo bi ustanoviti:</w:t>
      </w:r>
    </w:p>
    <w:tbl>
      <w:tblPr>
        <w:tblW w:w="5000" w:type="pct"/>
        <w:tblCellSpacing w:w="0" w:type="dxa"/>
        <w:tblCellMar>
          <w:left w:w="0" w:type="dxa"/>
          <w:right w:w="0" w:type="dxa"/>
        </w:tblCellMar>
        <w:tblLook w:val="04A0" w:firstRow="1" w:lastRow="0" w:firstColumn="1" w:lastColumn="0" w:noHBand="0" w:noVBand="1"/>
      </w:tblPr>
      <w:tblGrid>
        <w:gridCol w:w="353"/>
        <w:gridCol w:w="8719"/>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podliježe li dotična tvar ili predmet ODO-u i Popisu otpada te</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primjenjuje li se „apsolutan” (opasan ili neopasan) unos iz Popisa otpada ili „zrcalni unos”, pa je stoga potrebna dodatna procjena.</w:t>
            </w:r>
          </w:p>
        </w:tc>
      </w:tr>
    </w:tbl>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noProof/>
          <w:color w:val="000000"/>
          <w:szCs w:val="24"/>
          <w:lang w:eastAsia="hr-HR"/>
        </w:rPr>
        <w:drawing>
          <wp:inline distT="0" distB="0" distL="0" distR="0">
            <wp:extent cx="6457950" cy="3609975"/>
            <wp:effectExtent l="0" t="0" r="0" b="9525"/>
            <wp:docPr id="24"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57950" cy="3609975"/>
                    </a:xfrm>
                    <a:prstGeom prst="rect">
                      <a:avLst/>
                    </a:prstGeom>
                    <a:noFill/>
                    <a:ln>
                      <a:noFill/>
                    </a:ln>
                  </pic:spPr>
                </pic:pic>
              </a:graphicData>
            </a:graphic>
          </wp:inline>
        </w:drawing>
      </w:r>
    </w:p>
    <w:p w:rsidR="005203CE" w:rsidRPr="005203CE" w:rsidRDefault="005203CE" w:rsidP="005203CE">
      <w:pPr>
        <w:spacing w:before="240" w:after="120" w:line="240" w:lineRule="auto"/>
        <w:jc w:val="both"/>
        <w:rPr>
          <w:rFonts w:eastAsia="Times New Roman" w:cs="Times New Roman"/>
          <w:b/>
          <w:bCs/>
          <w:color w:val="000000"/>
          <w:szCs w:val="24"/>
          <w:lang w:eastAsia="hr-HR"/>
        </w:rPr>
      </w:pPr>
      <w:r w:rsidRPr="005203CE">
        <w:rPr>
          <w:rFonts w:eastAsia="Times New Roman" w:cs="Times New Roman"/>
          <w:b/>
          <w:bCs/>
          <w:color w:val="000000"/>
          <w:szCs w:val="24"/>
          <w:lang w:eastAsia="hr-HR"/>
        </w:rPr>
        <w:t>3.1.1.   </w:t>
      </w:r>
      <w:r w:rsidRPr="005203CE">
        <w:rPr>
          <w:rFonts w:ascii="inherit" w:eastAsia="Times New Roman" w:hAnsi="inherit" w:cs="Times New Roman"/>
          <w:b/>
          <w:bCs/>
          <w:i/>
          <w:iCs/>
          <w:color w:val="000000"/>
          <w:szCs w:val="24"/>
          <w:lang w:eastAsia="hr-HR"/>
        </w:rPr>
        <w:t>1. korak: primjenjuje li se ODO?</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Prije razvrstavanja otpada treba provjeriti primjenjuje li se ODO uopće.</w:t>
      </w: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Prvo treba ustanoviti je li predmetna tvar ili predmet otpad (kako je definirano u ODO-u).</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Treba utvrditi smatra li se predmetna tvar ili predmet otpadom u smislu ODO-a kako bi se ispunio preduvjet za dodatna procjenu njegovih opasnih svojstava. Za potrebe te konkretne procjene u Smjernicama o ODO-u objašnjeni su ključna definicija „odbacivanja” iz ODO-a i povezani koncepti iz ODO-a, kao što su „nusproizvod” i „prestanak statusa otpada”.</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lastRenderedPageBreak/>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Drugo, treba provjeriti jesu li određeni posebni tokovi otpada izuzeti iz područja primjene ODO-a.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Čak i ako se tvar ili predmet smatra otpadom, treba procijeniti primjenjuje li se jedno od izuzeća iz područja primjene utvrđenih u članku 2. ODO-a. Tekst članka 2. ODO-a naveden je u okviru u nastavku. U Smjernicama o ODO-u navedena su detaljna objašnjenja odabranih izuzeća.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Ako se procjenom utvrdi da se primjenjuje izuzeće, ne primjenjuje se ni ODO ni Popis otpada (poseban je slučaj Direktiva o otpadu od vađenja minerala kako je opisano u odjeljku 2.1.5., koja je izvan područja primjene ODO-a, ali se u okolnostima navedenima u toj Direktivi otpad mora razvrstati u skladu s Popisom otpada).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Svi tokovi otpada koji nisu izričito izuzeti na temelju ODO-a razvrstavaju se u skladu s ODO-om i Popisom otpada te stoga i u skladu s pristupom iznesenim u ovim Tehničkim smjernicama. To uključuje slučajeve u kojima postoji dodatno zakonodavstvo za određeni tok otpada (poput otpadne električne i elektroničke opreme (OEEO) u slučaju Direktive 2012/19/EU</w:t>
            </w:r>
            <w:hyperlink r:id="rId27" w:anchor="ntr22-C_2018124HR.01000101-E0022"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22</w:t>
              </w:r>
              <w:r w:rsidRPr="005203CE">
                <w:rPr>
                  <w:rFonts w:ascii="inherit" w:eastAsia="Times New Roman" w:hAnsi="inherit" w:cs="Times New Roman"/>
                  <w:color w:val="0000FF"/>
                  <w:szCs w:val="24"/>
                  <w:u w:val="single"/>
                  <w:lang w:eastAsia="hr-HR"/>
                </w:rPr>
                <w:t>)</w:t>
              </w:r>
            </w:hyperlink>
            <w:r w:rsidRPr="005203CE">
              <w:rPr>
                <w:rFonts w:ascii="inherit" w:eastAsia="Times New Roman" w:hAnsi="inherit" w:cs="Times New Roman"/>
                <w:color w:val="000000"/>
                <w:szCs w:val="24"/>
                <w:lang w:eastAsia="hr-HR"/>
              </w:rPr>
              <w:t> o otpadnoj električnoj i elektroničkoj opremi ili otpadnih baterija u slučaju Direktive 2006/66/EZ</w:t>
            </w:r>
            <w:hyperlink r:id="rId28" w:anchor="ntr23-C_2018124HR.01000101-E0023"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23</w:t>
              </w:r>
              <w:r w:rsidRPr="005203CE">
                <w:rPr>
                  <w:rFonts w:ascii="inherit" w:eastAsia="Times New Roman" w:hAnsi="inherit" w:cs="Times New Roman"/>
                  <w:color w:val="0000FF"/>
                  <w:szCs w:val="24"/>
                  <w:u w:val="single"/>
                  <w:lang w:eastAsia="hr-HR"/>
                </w:rPr>
                <w:t>)</w:t>
              </w:r>
            </w:hyperlink>
            <w:r w:rsidRPr="005203CE">
              <w:rPr>
                <w:rFonts w:ascii="inherit" w:eastAsia="Times New Roman" w:hAnsi="inherit" w:cs="Times New Roman"/>
                <w:color w:val="000000"/>
                <w:szCs w:val="24"/>
                <w:lang w:eastAsia="hr-HR"/>
              </w:rPr>
              <w:t> o baterijama) kako je navedeno u članku 2. stavku 4. ODO-a.</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5203CE" w:rsidRPr="005203CE" w:rsidTr="005203C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Direktiva 2008/98/EZ</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u w:val="single"/>
                <w:lang w:eastAsia="hr-HR"/>
              </w:rPr>
              <w:t>Članak 2.– Izuzeća iz područja primjene</w:t>
            </w:r>
          </w:p>
          <w:tbl>
            <w:tblPr>
              <w:tblW w:w="5000" w:type="pct"/>
              <w:tblCellSpacing w:w="0" w:type="dxa"/>
              <w:tblCellMar>
                <w:left w:w="0" w:type="dxa"/>
                <w:right w:w="0" w:type="dxa"/>
              </w:tblCellMar>
              <w:tblLook w:val="04A0" w:firstRow="1" w:lastRow="0" w:firstColumn="1" w:lastColumn="0" w:noHBand="0" w:noVBand="1"/>
            </w:tblPr>
            <w:tblGrid>
              <w:gridCol w:w="6"/>
              <w:gridCol w:w="180"/>
              <w:gridCol w:w="8540"/>
            </w:tblGrid>
            <w:tr w:rsidR="005203CE" w:rsidRPr="005203CE">
              <w:trPr>
                <w:tblCellSpacing w:w="0" w:type="dxa"/>
              </w:trPr>
              <w:tc>
                <w:tcPr>
                  <w:tcW w:w="0" w:type="auto"/>
                  <w:hideMark/>
                </w:tcPr>
                <w:p w:rsidR="005203CE" w:rsidRPr="005203CE" w:rsidRDefault="005203CE" w:rsidP="005203CE">
                  <w:pPr>
                    <w:spacing w:after="0" w:line="240" w:lineRule="auto"/>
                    <w:rPr>
                      <w:rFonts w:ascii="inherit" w:eastAsia="Times New Roman" w:hAnsi="inherit" w:cs="Times New Roman"/>
                      <w:b/>
                      <w:bCs/>
                      <w:color w:val="000000"/>
                      <w:szCs w:val="24"/>
                      <w:lang w:eastAsia="hr-HR"/>
                    </w:rPr>
                  </w:pP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1.</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Iz područja primjene ove Direktive isključuje se sljedeće:</w:t>
                  </w:r>
                </w:p>
                <w:tbl>
                  <w:tblPr>
                    <w:tblW w:w="5000" w:type="pct"/>
                    <w:tblCellSpacing w:w="0" w:type="dxa"/>
                    <w:tblCellMar>
                      <w:left w:w="0" w:type="dxa"/>
                      <w:right w:w="0" w:type="dxa"/>
                    </w:tblCellMar>
                    <w:tblLook w:val="04A0" w:firstRow="1" w:lastRow="0" w:firstColumn="1" w:lastColumn="0" w:noHBand="0" w:noVBand="1"/>
                  </w:tblPr>
                  <w:tblGrid>
                    <w:gridCol w:w="322"/>
                    <w:gridCol w:w="8218"/>
                  </w:tblGrid>
                  <w:tr w:rsidR="005203CE" w:rsidRP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a.</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plinovite tvari koje se ispuštaju u atmosferu;</w:t>
                        </w:r>
                      </w:p>
                    </w:tc>
                  </w:tr>
                </w:tbl>
                <w:p w:rsidR="005203CE" w:rsidRPr="005203CE" w:rsidRDefault="005203CE" w:rsidP="005203CE">
                  <w:pPr>
                    <w:spacing w:after="0" w:line="240" w:lineRule="auto"/>
                    <w:rPr>
                      <w:rFonts w:ascii="inherit" w:eastAsia="Times New Roman" w:hAnsi="inherit"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80"/>
                    <w:gridCol w:w="8360"/>
                  </w:tblGrid>
                  <w:tr w:rsidR="005203CE" w:rsidRP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b.</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zemlja/tlo (</w:t>
                        </w:r>
                        <w:proofErr w:type="spellStart"/>
                        <w:r w:rsidRPr="005203CE">
                          <w:rPr>
                            <w:rFonts w:ascii="inherit" w:eastAsia="Times New Roman" w:hAnsi="inherit" w:cs="Times New Roman"/>
                            <w:i/>
                            <w:iCs/>
                            <w:szCs w:val="24"/>
                            <w:lang w:eastAsia="hr-HR"/>
                          </w:rPr>
                          <w:t>in</w:t>
                        </w:r>
                        <w:proofErr w:type="spellEnd"/>
                        <w:r w:rsidRPr="005203CE">
                          <w:rPr>
                            <w:rFonts w:ascii="inherit" w:eastAsia="Times New Roman" w:hAnsi="inherit" w:cs="Times New Roman"/>
                            <w:i/>
                            <w:iCs/>
                            <w:szCs w:val="24"/>
                            <w:lang w:eastAsia="hr-HR"/>
                          </w:rPr>
                          <w:t xml:space="preserve"> situ</w:t>
                        </w:r>
                        <w:r w:rsidRPr="005203CE">
                          <w:rPr>
                            <w:rFonts w:ascii="inherit" w:eastAsia="Times New Roman" w:hAnsi="inherit" w:cs="Times New Roman"/>
                            <w:szCs w:val="24"/>
                            <w:lang w:eastAsia="hr-HR"/>
                          </w:rPr>
                          <w:t>) uključujući neiskopano onečišćeno tlo i građevine trajno povezane sa zemljištem;</w:t>
                        </w:r>
                      </w:p>
                    </w:tc>
                  </w:tr>
                </w:tbl>
                <w:p w:rsidR="005203CE" w:rsidRPr="005203CE" w:rsidRDefault="005203CE" w:rsidP="005203CE">
                  <w:pPr>
                    <w:spacing w:after="0" w:line="240" w:lineRule="auto"/>
                    <w:rPr>
                      <w:rFonts w:ascii="inherit" w:eastAsia="Times New Roman" w:hAnsi="inherit"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67"/>
                    <w:gridCol w:w="8373"/>
                  </w:tblGrid>
                  <w:tr w:rsidR="005203CE" w:rsidRP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c.</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neonečišćeno tlo i drugi materijali iz prirode iskopani tijekom građevinskih aktivnosti ako je nedvojbeno da će se taj materijal koristiti za građevinske svrhe u svojem prirodnom obliku na lokaciji s koje je iskopan;</w:t>
                        </w:r>
                      </w:p>
                    </w:tc>
                  </w:tr>
                </w:tbl>
                <w:p w:rsidR="005203CE" w:rsidRPr="005203CE" w:rsidRDefault="005203CE" w:rsidP="005203CE">
                  <w:pPr>
                    <w:spacing w:after="0" w:line="240" w:lineRule="auto"/>
                    <w:rPr>
                      <w:rFonts w:ascii="inherit" w:eastAsia="Times New Roman" w:hAnsi="inherit"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769"/>
                    <w:gridCol w:w="7771"/>
                  </w:tblGrid>
                  <w:tr w:rsidR="005203CE" w:rsidRP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d.</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radioaktivni otpad;</w:t>
                        </w:r>
                      </w:p>
                    </w:tc>
                  </w:tr>
                </w:tbl>
                <w:p w:rsidR="005203CE" w:rsidRPr="005203CE" w:rsidRDefault="005203CE" w:rsidP="005203CE">
                  <w:pPr>
                    <w:spacing w:after="0" w:line="240" w:lineRule="auto"/>
                    <w:rPr>
                      <w:rFonts w:ascii="inherit" w:eastAsia="Times New Roman" w:hAnsi="inherit"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588"/>
                    <w:gridCol w:w="7952"/>
                  </w:tblGrid>
                  <w:tr w:rsidR="005203CE" w:rsidRP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e.</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deaktivirani eksplozivi;</w:t>
                        </w:r>
                      </w:p>
                    </w:tc>
                  </w:tr>
                </w:tbl>
                <w:p w:rsidR="005203CE" w:rsidRPr="005203CE" w:rsidRDefault="005203CE" w:rsidP="005203CE">
                  <w:pPr>
                    <w:spacing w:after="0" w:line="240" w:lineRule="auto"/>
                    <w:rPr>
                      <w:rFonts w:ascii="inherit" w:eastAsia="Times New Roman" w:hAnsi="inherit"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40"/>
                    <w:gridCol w:w="8400"/>
                  </w:tblGrid>
                  <w:tr w:rsidR="005203CE" w:rsidRP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f.</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fekalije, ako nisu obuhvaćene stavkom 2. točkom (b), slama i drugi neopasni poljoprivredni ili šumski materijal koji se nalazi u prirodi i koji se koristi u poljoprivredi, šumarstvu ili za proizvodnju energije iz takve biomase postupcima ili metodama koje ne štete okolišu i ne ugrožavaju zdravlje ljudi.</w:t>
                        </w:r>
                      </w:p>
                    </w:tc>
                  </w:tr>
                </w:tbl>
                <w:p w:rsidR="005203CE" w:rsidRPr="005203CE" w:rsidRDefault="005203CE" w:rsidP="005203CE">
                  <w:pPr>
                    <w:spacing w:after="0" w:line="240" w:lineRule="auto"/>
                    <w:rPr>
                      <w:rFonts w:ascii="inherit" w:eastAsia="Times New Roman" w:hAnsi="inherit" w:cs="Times New Roman"/>
                      <w:szCs w:val="24"/>
                      <w:lang w:eastAsia="hr-HR"/>
                    </w:rPr>
                  </w:pPr>
                </w:p>
              </w:tc>
            </w:tr>
          </w:tbl>
          <w:p w:rsidR="005203CE" w:rsidRPr="005203CE" w:rsidRDefault="005203CE" w:rsidP="005203CE">
            <w:pPr>
              <w:spacing w:after="0" w:line="240" w:lineRule="auto"/>
              <w:rPr>
                <w:rFonts w:ascii="inherit" w:eastAsia="Times New Roman" w:hAnsi="inherit"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6"/>
              <w:gridCol w:w="180"/>
              <w:gridCol w:w="8540"/>
            </w:tblGrid>
            <w:tr w:rsidR="005203CE" w:rsidRPr="005203CE">
              <w:trPr>
                <w:tblCellSpacing w:w="0" w:type="dxa"/>
              </w:trPr>
              <w:tc>
                <w:tcPr>
                  <w:tcW w:w="0" w:type="auto"/>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2.</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U mjeri u kojoj je obuhvaćeno drugim zakonodavstvom Zajednice, iz područja primjene ove Direktive isključuje se sljedeće:</w:t>
                  </w:r>
                </w:p>
                <w:tbl>
                  <w:tblPr>
                    <w:tblW w:w="5000" w:type="pct"/>
                    <w:tblCellSpacing w:w="0" w:type="dxa"/>
                    <w:tblCellMar>
                      <w:left w:w="0" w:type="dxa"/>
                      <w:right w:w="0" w:type="dxa"/>
                    </w:tblCellMar>
                    <w:tblLook w:val="04A0" w:firstRow="1" w:lastRow="0" w:firstColumn="1" w:lastColumn="0" w:noHBand="0" w:noVBand="1"/>
                  </w:tblPr>
                  <w:tblGrid>
                    <w:gridCol w:w="938"/>
                    <w:gridCol w:w="7602"/>
                  </w:tblGrid>
                  <w:tr w:rsidR="005203CE" w:rsidRP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a.</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otpadne vode;</w:t>
                        </w:r>
                      </w:p>
                    </w:tc>
                  </w:tr>
                </w:tbl>
                <w:p w:rsidR="005203CE" w:rsidRPr="005203CE" w:rsidRDefault="005203CE" w:rsidP="005203CE">
                  <w:pPr>
                    <w:spacing w:after="0" w:line="240" w:lineRule="auto"/>
                    <w:rPr>
                      <w:rFonts w:ascii="inherit" w:eastAsia="Times New Roman" w:hAnsi="inherit"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80"/>
                    <w:gridCol w:w="8360"/>
                  </w:tblGrid>
                  <w:tr w:rsidR="005203CE" w:rsidRP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b.</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nusproizvodi životinjskog podrijetla uključujući prerađene proizvode obuhvaćene Uredbom (EZ) br. 1774/2002, osim proizvoda namijenjenih spaljivanju, odlaganju na odlagališta ili uporabi u postrojenjima na bioplin ili kompost;</w:t>
                        </w:r>
                      </w:p>
                    </w:tc>
                  </w:tr>
                </w:tbl>
                <w:p w:rsidR="005203CE" w:rsidRPr="005203CE" w:rsidRDefault="005203CE" w:rsidP="005203CE">
                  <w:pPr>
                    <w:spacing w:after="0" w:line="240" w:lineRule="auto"/>
                    <w:rPr>
                      <w:rFonts w:ascii="inherit" w:eastAsia="Times New Roman" w:hAnsi="inherit"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67"/>
                    <w:gridCol w:w="8373"/>
                  </w:tblGrid>
                  <w:tr w:rsidR="005203CE" w:rsidRP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c.</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xml:space="preserve">strvine životinja koje nisu zaklane nego su uginule, uključujući životinje usmrćene radi istrebljenja </w:t>
                        </w:r>
                        <w:proofErr w:type="spellStart"/>
                        <w:r w:rsidRPr="005203CE">
                          <w:rPr>
                            <w:rFonts w:ascii="inherit" w:eastAsia="Times New Roman" w:hAnsi="inherit" w:cs="Times New Roman"/>
                            <w:szCs w:val="24"/>
                            <w:lang w:eastAsia="hr-HR"/>
                          </w:rPr>
                          <w:t>epizootskih</w:t>
                        </w:r>
                        <w:proofErr w:type="spellEnd"/>
                        <w:r w:rsidRPr="005203CE">
                          <w:rPr>
                            <w:rFonts w:ascii="inherit" w:eastAsia="Times New Roman" w:hAnsi="inherit" w:cs="Times New Roman"/>
                            <w:szCs w:val="24"/>
                            <w:lang w:eastAsia="hr-HR"/>
                          </w:rPr>
                          <w:t xml:space="preserve"> bolesti, koje se zbrinjavaju u skladu s Uredbom (EZ) br. 1774/2002;</w:t>
                        </w:r>
                      </w:p>
                    </w:tc>
                  </w:tr>
                </w:tbl>
                <w:p w:rsidR="005203CE" w:rsidRPr="005203CE" w:rsidRDefault="005203CE" w:rsidP="005203CE">
                  <w:pPr>
                    <w:spacing w:after="0" w:line="240" w:lineRule="auto"/>
                    <w:rPr>
                      <w:rFonts w:ascii="inherit" w:eastAsia="Times New Roman" w:hAnsi="inherit"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80"/>
                    <w:gridCol w:w="8360"/>
                  </w:tblGrid>
                  <w:tr w:rsidR="005203CE" w:rsidRP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d.</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otpad koji nastaje pri istraživanju, eksploataciji, oplemenjivanju i skladištenju mineralnih sirovina te pri radu kamenoloma obuhvaćen Direktivom 2006/21/EZ Europskog parlamenta i Vijeća od 15. ožujka 2006. o gospodarenju otpadom od istraživanja i eksploatacije mineralnih sirovina.</w:t>
                        </w:r>
                      </w:p>
                    </w:tc>
                  </w:tr>
                </w:tbl>
                <w:p w:rsidR="005203CE" w:rsidRPr="005203CE" w:rsidRDefault="005203CE" w:rsidP="005203CE">
                  <w:pPr>
                    <w:spacing w:after="0" w:line="240" w:lineRule="auto"/>
                    <w:rPr>
                      <w:rFonts w:ascii="inherit" w:eastAsia="Times New Roman" w:hAnsi="inherit" w:cs="Times New Roman"/>
                      <w:szCs w:val="24"/>
                      <w:lang w:eastAsia="hr-HR"/>
                    </w:rPr>
                  </w:pPr>
                </w:p>
              </w:tc>
            </w:tr>
          </w:tbl>
          <w:p w:rsidR="005203CE" w:rsidRPr="005203CE" w:rsidRDefault="005203CE" w:rsidP="005203CE">
            <w:pPr>
              <w:spacing w:after="0" w:line="240" w:lineRule="auto"/>
              <w:rPr>
                <w:rFonts w:ascii="inherit" w:eastAsia="Times New Roman" w:hAnsi="inherit"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6"/>
              <w:gridCol w:w="180"/>
              <w:gridCol w:w="8540"/>
            </w:tblGrid>
            <w:tr w:rsidR="005203CE" w:rsidRPr="005203CE">
              <w:trPr>
                <w:tblCellSpacing w:w="0" w:type="dxa"/>
              </w:trPr>
              <w:tc>
                <w:tcPr>
                  <w:tcW w:w="0" w:type="auto"/>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3.</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Ne dovodeći u pitanje obveze na temelju drugog relevantnog zakonodavstva Zajednice, iz područja ove Direktive isključuju se sedimenti koji se premještaju unutar površinskih voda radi gospodarenja vodama i vodenim tokovima ili sprečavanja poplava ili ublažavanja posljedica poplava, suša ili regeneracije zemljišta ako se dokaže da su ti sedimenti neopasni.</w:t>
                  </w:r>
                </w:p>
              </w:tc>
            </w:tr>
          </w:tbl>
          <w:p w:rsidR="005203CE" w:rsidRPr="005203CE" w:rsidRDefault="005203CE" w:rsidP="005203CE">
            <w:pPr>
              <w:spacing w:after="0" w:line="240" w:lineRule="auto"/>
              <w:rPr>
                <w:rFonts w:ascii="inherit" w:eastAsia="Times New Roman" w:hAnsi="inherit"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6"/>
              <w:gridCol w:w="180"/>
              <w:gridCol w:w="8540"/>
            </w:tblGrid>
            <w:tr w:rsidR="005203CE" w:rsidRPr="005203CE">
              <w:trPr>
                <w:tblCellSpacing w:w="0" w:type="dxa"/>
              </w:trPr>
              <w:tc>
                <w:tcPr>
                  <w:tcW w:w="0" w:type="auto"/>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4.</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Specifična pravila za posebna slučajeve o gospodarenju posebnim kategorijama otpada, ili kao dopuna pravilima iz ove Direktive, mogu se utvrditi u pojedinačnim direktivama.</w:t>
                  </w:r>
                </w:p>
              </w:tc>
            </w:tr>
          </w:tbl>
          <w:p w:rsidR="005203CE" w:rsidRPr="005203CE" w:rsidRDefault="005203CE" w:rsidP="005203CE">
            <w:pPr>
              <w:spacing w:after="0" w:line="240" w:lineRule="auto"/>
              <w:rPr>
                <w:rFonts w:ascii="inherit" w:eastAsia="Times New Roman" w:hAnsi="inherit" w:cs="Times New Roman"/>
                <w:color w:val="000000"/>
                <w:szCs w:val="24"/>
                <w:lang w:eastAsia="hr-HR"/>
              </w:rPr>
            </w:pP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489"/>
        <w:gridCol w:w="7583"/>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Okvir 11.:</w:t>
            </w:r>
          </w:p>
        </w:tc>
        <w:tc>
          <w:tcPr>
            <w:tcW w:w="0" w:type="auto"/>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b/>
                <w:bCs/>
                <w:color w:val="000000"/>
                <w:szCs w:val="24"/>
                <w:lang w:eastAsia="hr-HR"/>
              </w:rPr>
              <w:t>Članak 2. ODO-a – Izuzeća iz područja primjene</w:t>
            </w:r>
          </w:p>
        </w:tc>
      </w:tr>
    </w:tbl>
    <w:p w:rsidR="005203CE" w:rsidRPr="005203CE" w:rsidRDefault="005203CE" w:rsidP="005203CE">
      <w:pPr>
        <w:spacing w:before="240" w:after="120" w:line="240" w:lineRule="auto"/>
        <w:jc w:val="both"/>
        <w:rPr>
          <w:rFonts w:eastAsia="Times New Roman" w:cs="Times New Roman"/>
          <w:b/>
          <w:bCs/>
          <w:color w:val="000000"/>
          <w:szCs w:val="24"/>
          <w:lang w:eastAsia="hr-HR"/>
        </w:rPr>
      </w:pPr>
      <w:r w:rsidRPr="005203CE">
        <w:rPr>
          <w:rFonts w:eastAsia="Times New Roman" w:cs="Times New Roman"/>
          <w:b/>
          <w:bCs/>
          <w:color w:val="000000"/>
          <w:szCs w:val="24"/>
          <w:lang w:eastAsia="hr-HR"/>
        </w:rPr>
        <w:t>3.1.2.   </w:t>
      </w:r>
      <w:r w:rsidRPr="005203CE">
        <w:rPr>
          <w:rFonts w:ascii="inherit" w:eastAsia="Times New Roman" w:hAnsi="inherit" w:cs="Times New Roman"/>
          <w:b/>
          <w:bCs/>
          <w:i/>
          <w:iCs/>
          <w:color w:val="000000"/>
          <w:szCs w:val="24"/>
          <w:lang w:eastAsia="hr-HR"/>
        </w:rPr>
        <w:t>2. korak: koji se unos s Popisa otpada primjenjuje?</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Popis otpada sadržava 20 </w:t>
      </w:r>
      <w:r w:rsidRPr="005203CE">
        <w:rPr>
          <w:rFonts w:ascii="inherit" w:eastAsia="Times New Roman" w:hAnsi="inherit" w:cs="Times New Roman"/>
          <w:i/>
          <w:iCs/>
          <w:color w:val="000000"/>
          <w:szCs w:val="24"/>
          <w:lang w:eastAsia="hr-HR"/>
        </w:rPr>
        <w:t>poglavlja</w:t>
      </w:r>
      <w:r w:rsidRPr="005203CE">
        <w:rPr>
          <w:rFonts w:eastAsia="Times New Roman" w:cs="Times New Roman"/>
          <w:color w:val="000000"/>
          <w:szCs w:val="24"/>
          <w:lang w:eastAsia="hr-HR"/>
        </w:rPr>
        <w:t> (dvoznamenkaste oznake), koja se dalje dijele na </w:t>
      </w:r>
      <w:proofErr w:type="spellStart"/>
      <w:r w:rsidRPr="005203CE">
        <w:rPr>
          <w:rFonts w:ascii="inherit" w:eastAsia="Times New Roman" w:hAnsi="inherit" w:cs="Times New Roman"/>
          <w:i/>
          <w:iCs/>
          <w:color w:val="000000"/>
          <w:szCs w:val="24"/>
          <w:lang w:eastAsia="hr-HR"/>
        </w:rPr>
        <w:t>potpoglavlja</w:t>
      </w:r>
      <w:proofErr w:type="spellEnd"/>
      <w:r w:rsidRPr="005203CE">
        <w:rPr>
          <w:rFonts w:eastAsia="Times New Roman" w:cs="Times New Roman"/>
          <w:color w:val="000000"/>
          <w:szCs w:val="24"/>
          <w:lang w:eastAsia="hr-HR"/>
        </w:rPr>
        <w:t> (četveroznamenkaste oznake) i </w:t>
      </w:r>
      <w:r w:rsidRPr="005203CE">
        <w:rPr>
          <w:rFonts w:ascii="inherit" w:eastAsia="Times New Roman" w:hAnsi="inherit" w:cs="Times New Roman"/>
          <w:i/>
          <w:iCs/>
          <w:color w:val="000000"/>
          <w:szCs w:val="24"/>
          <w:lang w:eastAsia="hr-HR"/>
        </w:rPr>
        <w:t>unose</w:t>
      </w:r>
      <w:r w:rsidRPr="005203CE">
        <w:rPr>
          <w:rFonts w:eastAsia="Times New Roman" w:cs="Times New Roman"/>
          <w:color w:val="000000"/>
          <w:szCs w:val="24"/>
          <w:lang w:eastAsia="hr-HR"/>
        </w:rPr>
        <w:t> (šesteroznamenkaste oznake).</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Raspoređivanje u određeni unos vrši se u skladu s postupkom za upotrebu Popisa otpada. U tom je postupku utvrđen red prvenstva za poglavlja. Popis otpada s komentarima i upute za njegovu upotrebu nalaze se u Prilogu 1.</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Svaki otpad koji se može identificirati kao unos označen zvjezdicom (*) trebalo bi smatrati opasnim. Otpad koji se definira s pomoću svih drugih unosa smatra se neopasnim. Za provedbu 2. koraka i identifikaciju primjenjivog/primjenjivih unosa s Popisa otpada treba učiniti sljedeće:</w:t>
      </w: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usporediti odgovarajući unos ili odgovarajuće unose s Popisa otpada s predmetnim otpadom, uzimajući pritom u obzir da su na temelju članka 7. stavka 2. ili 3. ODO-a na razini država članica u nacionalno zakonodavstvo možda uvršteni posebni unosi,</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nakon toga treba procijeniti u koju od sljedećih vrsta unosa treba rasporediti predmetni otpad:</w:t>
            </w:r>
          </w:p>
          <w:tbl>
            <w:tblPr>
              <w:tblW w:w="5000" w:type="pct"/>
              <w:tblCellSpacing w:w="0" w:type="dxa"/>
              <w:tblCellMar>
                <w:left w:w="0" w:type="dxa"/>
                <w:right w:w="0" w:type="dxa"/>
              </w:tblCellMar>
              <w:tblLook w:val="04A0" w:firstRow="1" w:lastRow="0" w:firstColumn="1" w:lastColumn="0" w:noHBand="0" w:noVBand="1"/>
            </w:tblPr>
            <w:tblGrid>
              <w:gridCol w:w="240"/>
              <w:gridCol w:w="8592"/>
            </w:tblGrid>
            <w:tr w:rsidR="005203CE" w:rsidRP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b/>
                      <w:bCs/>
                      <w:i/>
                      <w:iCs/>
                      <w:szCs w:val="24"/>
                      <w:lang w:eastAsia="hr-HR"/>
                    </w:rPr>
                    <w:t>apsolutno opasan (AH) unos (označen zvjezdicom (*))</w:t>
                  </w:r>
                </w:p>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Otpad koji je raspoređen u apsolutno opasne unose ne može se uvrstiti u neopasne unose i opasan je bez dodatne procjene.</w:t>
                  </w:r>
                </w:p>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i/>
                      <w:iCs/>
                      <w:szCs w:val="24"/>
                      <w:lang w:eastAsia="hr-HR"/>
                    </w:rPr>
                    <w:lastRenderedPageBreak/>
                    <w:t>Ako se otpad rasporedi u apsolutno opasni otpad, razvrstava se kao opasan i nije potrebna dodatna procjena kako bi se donijela odluka o obvezi njegova razvrstavanja kao opasnog. Međutim, ipak je potrebno poduzeti korake od 3. do 5. (vidjeti poglavlje 3.2.) kako bi se utvrdilo koja opasna svojstva predmetni otpad pokazuje jer bi ti podaci mogli biti potrebni kako bi se ispunile odredbe o ispravnom označivanju opasnog otpada iz članka 19. ODO-a (npr. za ispunjavanje tovarnog lista za promet otpada). Za informacije o apsolutno opasnim unosima koji ne pokazuju opasna svojstva vidjeti okvir 1. u odjeljku 1.1. Priloga 1.</w:t>
                  </w:r>
                </w:p>
              </w:tc>
            </w:tr>
          </w:tbl>
          <w:p w:rsidR="005203CE" w:rsidRPr="005203CE" w:rsidRDefault="005203CE" w:rsidP="005203CE">
            <w:pPr>
              <w:spacing w:after="0" w:line="240" w:lineRule="auto"/>
              <w:rPr>
                <w:rFonts w:ascii="inherit" w:eastAsia="Times New Roman" w:hAnsi="inherit"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0"/>
              <w:gridCol w:w="8592"/>
            </w:tblGrid>
            <w:tr w:rsidR="005203CE" w:rsidRP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b/>
                      <w:bCs/>
                      <w:i/>
                      <w:iCs/>
                      <w:szCs w:val="24"/>
                      <w:lang w:eastAsia="hr-HR"/>
                    </w:rPr>
                    <w:t>apsolutno neopasan (ANH) unos</w:t>
                  </w:r>
                </w:p>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Otpad koji je raspoređen u apsolutno neopasne unose ne može se uvrstiti u opasne unose i trebao bi se razvrstavati kao neopasan bez dodatne procjene.</w:t>
                  </w:r>
                </w:p>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i/>
                      <w:iCs/>
                      <w:szCs w:val="24"/>
                      <w:lang w:eastAsia="hr-HR"/>
                    </w:rPr>
                    <w:t>Ako se otpad rasporedi u apsolutno neopasni otpad, razvrstava se kao neopasan i nije potrebna dodatna procjena kako bi se donijela odluka o obvezi njegova razvrstavanja kao neopasnog. Za informacije o apsolutno neopasnim unosima koji pokazuju opasna svojstva vidjeti okvir 1. u odjeljku 1.1. Priloga 1.</w:t>
                  </w:r>
                </w:p>
              </w:tc>
            </w:tr>
          </w:tbl>
          <w:p w:rsidR="005203CE" w:rsidRPr="005203CE" w:rsidRDefault="005203CE" w:rsidP="005203CE">
            <w:pPr>
              <w:spacing w:after="0" w:line="240" w:lineRule="auto"/>
              <w:rPr>
                <w:rFonts w:ascii="inherit" w:eastAsia="Times New Roman" w:hAnsi="inherit"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0"/>
              <w:gridCol w:w="8592"/>
            </w:tblGrid>
            <w:tr w:rsidR="005203CE" w:rsidRP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b/>
                      <w:bCs/>
                      <w:i/>
                      <w:iCs/>
                      <w:szCs w:val="24"/>
                      <w:lang w:eastAsia="hr-HR"/>
                    </w:rPr>
                    <w:t>zrcalni unos</w:t>
                  </w:r>
                </w:p>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Zrcalni unosi mogu se definirati kao dva povezana unosa ili više njih od kojih je jedan opasan, a drugi nije. Za razliku od AH ili ANH unosa, ako se otpad uvrštava u skupinu alternativnih unosa, za uvrštavanje je potrebno obaviti dodatnu procjenu. Alternativni se unosi sastoje od najmanje sljedećih unosa:</w:t>
                  </w:r>
                </w:p>
                <w:tbl>
                  <w:tblPr>
                    <w:tblW w:w="5000" w:type="pct"/>
                    <w:tblCellSpacing w:w="0" w:type="dxa"/>
                    <w:tblCellMar>
                      <w:left w:w="0" w:type="dxa"/>
                      <w:right w:w="0" w:type="dxa"/>
                    </w:tblCellMar>
                    <w:tblLook w:val="04A0" w:firstRow="1" w:lastRow="0" w:firstColumn="1" w:lastColumn="0" w:noHBand="0" w:noVBand="1"/>
                  </w:tblPr>
                  <w:tblGrid>
                    <w:gridCol w:w="393"/>
                    <w:gridCol w:w="8199"/>
                  </w:tblGrid>
                  <w:tr w:rsidR="005203CE" w:rsidRP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zrcalni opasan (MH) unos (označen zvjezdicom (*))</w:t>
                        </w:r>
                      </w:p>
                    </w:tc>
                  </w:tr>
                </w:tbl>
                <w:p w:rsidR="005203CE" w:rsidRPr="005203CE" w:rsidRDefault="005203CE" w:rsidP="005203CE">
                  <w:pPr>
                    <w:spacing w:after="0" w:line="240" w:lineRule="auto"/>
                    <w:rPr>
                      <w:rFonts w:ascii="inherit" w:eastAsia="Times New Roman" w:hAnsi="inherit"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665"/>
                    <w:gridCol w:w="7927"/>
                  </w:tblGrid>
                  <w:tr w:rsidR="005203CE" w:rsidRP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zrcalni neopasan (ANH) unos</w:t>
                        </w:r>
                      </w:p>
                    </w:tc>
                  </w:tr>
                </w:tbl>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i/>
                      <w:iCs/>
                      <w:szCs w:val="24"/>
                      <w:lang w:eastAsia="hr-HR"/>
                    </w:rPr>
                    <w:t>Ako se otpad može rasporediti kao zrcalni opasni unos ili zrcalni neopasni unos, potrebno je poduzeti korake od 3. do 5. (vidjeti poglavlje 3.2.) postupka razvrstavanja kako bi se na temelju tih istraživanja utvrdilo raspoređuje li se otpad kao zrcalni opasni unos ili zrcalni neopasni unos.</w:t>
                  </w:r>
                </w:p>
              </w:tc>
            </w:tr>
          </w:tbl>
          <w:p w:rsidR="005203CE" w:rsidRPr="005203CE" w:rsidRDefault="005203CE" w:rsidP="005203CE">
            <w:pPr>
              <w:spacing w:after="0" w:line="240" w:lineRule="auto"/>
              <w:rPr>
                <w:rFonts w:ascii="inherit" w:eastAsia="Times New Roman" w:hAnsi="inherit" w:cs="Times New Roman"/>
                <w:color w:val="000000"/>
                <w:szCs w:val="24"/>
                <w:lang w:eastAsia="hr-HR"/>
              </w:rPr>
            </w:pPr>
          </w:p>
        </w:tc>
      </w:tr>
    </w:tbl>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lastRenderedPageBreak/>
        <w:t>Dodatne informacije o raspoređivanju u apsolutno neopasne, apsolutno opasne, zrcalne opasne i zrcalne neopasne unose navedene su u odjeljku 1. Priloga 1.</w:t>
      </w:r>
    </w:p>
    <w:p w:rsidR="005203CE" w:rsidRPr="005203CE" w:rsidRDefault="005203CE" w:rsidP="005203CE">
      <w:pPr>
        <w:spacing w:before="240" w:after="120" w:line="240" w:lineRule="auto"/>
        <w:jc w:val="both"/>
        <w:rPr>
          <w:rFonts w:eastAsia="Times New Roman" w:cs="Times New Roman"/>
          <w:b/>
          <w:bCs/>
          <w:color w:val="000000"/>
          <w:szCs w:val="24"/>
          <w:lang w:eastAsia="hr-HR"/>
        </w:rPr>
      </w:pPr>
      <w:r w:rsidRPr="005203CE">
        <w:rPr>
          <w:rFonts w:eastAsia="Times New Roman" w:cs="Times New Roman"/>
          <w:b/>
          <w:bCs/>
          <w:color w:val="000000"/>
          <w:szCs w:val="24"/>
          <w:lang w:eastAsia="hr-HR"/>
        </w:rPr>
        <w:t>3.2.   </w:t>
      </w:r>
      <w:r w:rsidRPr="005203CE">
        <w:rPr>
          <w:rFonts w:ascii="inherit" w:eastAsia="Times New Roman" w:hAnsi="inherit" w:cs="Times New Roman"/>
          <w:b/>
          <w:bCs/>
          <w:color w:val="000000"/>
          <w:szCs w:val="24"/>
          <w:lang w:eastAsia="hr-HR"/>
        </w:rPr>
        <w:t>Raspoređivanje u zrcalne opasne ili zrcalne neopasne unose</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Pri odabiru odgovarajućeg zrcalnog unosa trebalo bi se služiti sljedećim poglavljima. Usto, ona se mogu primijeniti i u određivanju opasnih svojstava otpada pridruženog AH unosu jer bi ti podaci mogli biti potrebni kako bi se ispunile odredbe o ispravnom označivanju opasnog otpada iz članka 19. ODO-a (npr. za ispunjavanje tovarnog lista za promet otpada).</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Nakon provedbe koraka od 3. do 5. trebalo bi konačno biti poznato sadržava li predmetni otpad opasne komponente te pokazuje li neko opasno svojstvo ili više njih (od HP 1 do HP 15) i/ili sadržava li ikakve relevantne postojane organske onečišćujuće tvari. Na temelju toga može se odlučiti je li otpad opasan ili neopasan. Dijagram toka u nastavku prikazuje potrebne korake te upućuje na sljedeća poglavlja (i njihove priloge za dodatne pojedinosti).</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noProof/>
          <w:color w:val="000000"/>
          <w:szCs w:val="24"/>
          <w:lang w:eastAsia="hr-HR"/>
        </w:rPr>
        <w:lastRenderedPageBreak/>
        <w:drawing>
          <wp:inline distT="0" distB="0" distL="0" distR="0">
            <wp:extent cx="6419850" cy="6915150"/>
            <wp:effectExtent l="0" t="0" r="0" b="0"/>
            <wp:docPr id="23" name="Pictur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19850" cy="6915150"/>
                    </a:xfrm>
                    <a:prstGeom prst="rect">
                      <a:avLst/>
                    </a:prstGeom>
                    <a:noFill/>
                    <a:ln>
                      <a:noFill/>
                    </a:ln>
                  </pic:spPr>
                </pic:pic>
              </a:graphicData>
            </a:graphic>
          </wp:inline>
        </w:drawing>
      </w:r>
    </w:p>
    <w:p w:rsidR="005203CE" w:rsidRPr="005203CE" w:rsidRDefault="005203CE" w:rsidP="005203CE">
      <w:pPr>
        <w:spacing w:before="240" w:after="120" w:line="240" w:lineRule="auto"/>
        <w:jc w:val="both"/>
        <w:rPr>
          <w:rFonts w:eastAsia="Times New Roman" w:cs="Times New Roman"/>
          <w:b/>
          <w:bCs/>
          <w:color w:val="000000"/>
          <w:szCs w:val="24"/>
          <w:lang w:eastAsia="hr-HR"/>
        </w:rPr>
      </w:pPr>
      <w:r w:rsidRPr="005203CE">
        <w:rPr>
          <w:rFonts w:eastAsia="Times New Roman" w:cs="Times New Roman"/>
          <w:b/>
          <w:bCs/>
          <w:color w:val="000000"/>
          <w:szCs w:val="24"/>
          <w:lang w:eastAsia="hr-HR"/>
        </w:rPr>
        <w:t>3.2.1.   </w:t>
      </w:r>
      <w:r w:rsidRPr="005203CE">
        <w:rPr>
          <w:rFonts w:ascii="inherit" w:eastAsia="Times New Roman" w:hAnsi="inherit" w:cs="Times New Roman"/>
          <w:b/>
          <w:bCs/>
          <w:i/>
          <w:iCs/>
          <w:color w:val="000000"/>
          <w:szCs w:val="24"/>
          <w:lang w:eastAsia="hr-HR"/>
        </w:rPr>
        <w:t>3. korak: zna li se dovoljno o sastavu otpada kako bi se izračunom ili ispitivanjem u skladu s 4. korakom utvrdilo pokazuje li otpad opasna svojstva?</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Važan je korak u razvrstavanju otpada prikupljanje dostatnih informacija o prisutnosti i udjelu opasnih tvari u otpadu kako bi se utvrdilo pokazuje li otpad opasna svojstva od HP 1 do HP 15. Određene su informacije o sastavu otpada obavezne neovisno o odabiru metode procjene opasnih svojstava (izračunom ili ispitivanjem) kako je opisano u 4. koraku. Postoji nekoliko načina za prikupljanje informacija o relevantnom sastavu otpada, prisutnim opasnim tvarima i mogućim opasnim svojstvima:</w:t>
      </w: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lastRenderedPageBreak/>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 xml:space="preserve">iz informacija o proizvodnom procesu/kemiji u okviru kojih nastaje otpad te njihovim ulaznim tvarima i </w:t>
            </w:r>
            <w:proofErr w:type="spellStart"/>
            <w:r w:rsidRPr="005203CE">
              <w:rPr>
                <w:rFonts w:ascii="inherit" w:eastAsia="Times New Roman" w:hAnsi="inherit" w:cs="Times New Roman"/>
                <w:color w:val="000000"/>
                <w:szCs w:val="24"/>
                <w:lang w:eastAsia="hr-HR"/>
              </w:rPr>
              <w:t>međuproizvodima</w:t>
            </w:r>
            <w:proofErr w:type="spellEnd"/>
            <w:r w:rsidRPr="005203CE">
              <w:rPr>
                <w:rFonts w:ascii="inherit" w:eastAsia="Times New Roman" w:hAnsi="inherit" w:cs="Times New Roman"/>
                <w:color w:val="000000"/>
                <w:szCs w:val="24"/>
                <w:lang w:eastAsia="hr-HR"/>
              </w:rPr>
              <w:t>, uključujući stručne prosudbe (korisni izvori mogu biti referentni dokumenti o najboljim raspoloživim tehnikama, priručnici o industrijskim procesima, opisi procesa i popis ulaznih materijala koje dostavlja proizvođač itd.),</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iz informacija dobivenih od izvornog proizvođača tvari ili predmeta prije nego je postao otpad, npr. iz sigurnosnih listova, oznaka proizvoda ili informacijskih listova proizvoda (vidjeti pojedinosti u Prilogu 2.),</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305"/>
        <w:gridCol w:w="8767"/>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iz baza podataka o analizama otpada dostupnih na razini država članica,</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346"/>
        <w:gridCol w:w="8726"/>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uzorkovanjem i kemijskom analizom otpada (vidjeti Prilog 4.).</w:t>
            </w:r>
          </w:p>
        </w:tc>
      </w:tr>
    </w:tbl>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Nakon prikupljanja podataka o sastavu otpada moguće je procijeniti jesu li identificirane tvari razvrstane kao opasne, odnosno je li im dodijeljena šifra oznake upozorenja (vidjeti okvir 12.Box 12). Kako biste utvrdili jesu li sadržane tvari razvrstane kao opasne te saznali više o posebnim razredima i kategorijama opasnosti u koje tvari mogu biti uvrštene u skladu s Uredbom CLP, pročitajte smjernice iz Priloga 2.</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5203CE" w:rsidRPr="005203CE" w:rsidTr="005203C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Šifre oznaka upozorenja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Procjenu o tome smatraju li se tvari identificirane kao sastojci predmetnog otpada opasnim tvarima treba izvršiti u skladu s kriterijima iz Uredbe CLP. Korisni izvori informacija u tom kontekstu dostupni su u Prilogu 2 ovom dokumentu.</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Treba napomenuti da su u Uredbi CLP „oznake upozorenja” definirane kako slijedi:</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„oznaka upozorenja” znači izraz koji se dodjeljuje razredu i kategoriji opasnosti kako bi se opisala vrsta opasnosti opasne tvari ili smjese te, prema potrebi, stupanj opasnosti.</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Ovo je primjer šifre oznake upozorenja te dodijeljenog razreda i kategorije opasnosti iz tablice 3.1. u dijelu 3. Priloga VI. Uredbi CLP:</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488"/>
              <w:gridCol w:w="2772"/>
              <w:gridCol w:w="3450"/>
            </w:tblGrid>
            <w:tr w:rsidR="005203CE" w:rsidRP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Oznaka upozorenja: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Opis:</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Razred i kategorija opasnosti</w:t>
                  </w:r>
                </w:p>
              </w:tc>
            </w:tr>
            <w:tr w:rsidR="005203CE" w:rsidRP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H330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Smrtonosno ako se udahne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 xml:space="preserve">Akutna </w:t>
                  </w:r>
                  <w:proofErr w:type="spellStart"/>
                  <w:r w:rsidRPr="005203CE">
                    <w:rPr>
                      <w:rFonts w:ascii="inherit" w:eastAsia="Times New Roman" w:hAnsi="inherit" w:cs="Times New Roman"/>
                      <w:sz w:val="22"/>
                      <w:szCs w:val="22"/>
                      <w:lang w:eastAsia="hr-HR"/>
                    </w:rPr>
                    <w:t>toks</w:t>
                  </w:r>
                  <w:proofErr w:type="spellEnd"/>
                  <w:r w:rsidRPr="005203CE">
                    <w:rPr>
                      <w:rFonts w:ascii="inherit" w:eastAsia="Times New Roman" w:hAnsi="inherit" w:cs="Times New Roman"/>
                      <w:sz w:val="22"/>
                      <w:szCs w:val="22"/>
                      <w:lang w:eastAsia="hr-HR"/>
                    </w:rPr>
                    <w:t>. 2</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Prva znamenka koja dolazi nakon slova „H” predstavlja kategorizaciju opasnosti (2 – fizikalne opasnosti, 3 – opasnosti za zdravlje, 4 – opasnosti za okoliš), a druga i treća znamenka uzastopni su brojevi za grupiranje oznaka opasnosti. Informacije o šiframa oznaka upozorenja koje se dodjeljuju tvarima dostupne su u Prilogu 2.</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168"/>
        <w:gridCol w:w="7904"/>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Okvir 12.:</w:t>
            </w:r>
          </w:p>
        </w:tc>
        <w:tc>
          <w:tcPr>
            <w:tcW w:w="0" w:type="auto"/>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b/>
                <w:bCs/>
                <w:color w:val="000000"/>
                <w:szCs w:val="24"/>
                <w:lang w:eastAsia="hr-HR"/>
              </w:rPr>
              <w:t>Napomena o kriterijima iz Uredbe CLP: šifre oznaka upozorenja</w:t>
            </w:r>
          </w:p>
        </w:tc>
      </w:tr>
    </w:tbl>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Treba napomenuti da možda neće biti potrebno provesti kemijsku analizu predmetnog otpada ako se razmatra izravno ispitivanje opasnih svojstava (kakvo se obično provodi za fizikalna opasna svojstva, vidjeti 4. korak) Umjesto toga možda se već na temelju drugih, prethodno navedenih izvora informacija može zaključiti je li moguće razumno provesti ciljano izravno ispitivanje određenih opasnih svojstava.</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lastRenderedPageBreak/>
        <w:t>Ako razmatrate mogućnost uzorkovanja i kemijske analize predmetnog otpada da biste utvrdili njegov kemijski sastav (npr. da biste izvršili izračun radi procjene opasnih svojstava kako je opisano u 4. koraku), pogledajte Prilog 4.</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Od osoba koje razvrstavaju otpad očekuje se da poduzmu sve razumne mjere kako bi se sastav i opasna svojstva otpada utvrdili prije ove faze.</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Konačno, ako na temelju prikupljenih informacija o sastavu otpada (uzimajući u obzir sve prethodno navedene mogućnosti) nije moguće zaključiti koja opasna svojstva otpad pokazuje ili ih procijeniti ni izračunom ni ispitivanjem otpada u skladu sa sljedećim, 4. korakom, operater bi trebao razmotriti razvrstavanje otpada kao opasnog (po potrebi nakon savjetovanja s nadležnim tijelom).</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Treba napomenuti da izravne metode ispitivanja, iako su dostupne za neke od opasnih svojstava kako je opisano u 4. koraku, nisu dostupne za sva opasna svojstva. Otpad nepoznatog sastava zbog toga nije moguće u potpunosti razvrstati kao neopasan na temelju izravnog ispitivanja.</w:t>
      </w:r>
    </w:p>
    <w:p w:rsidR="005203CE" w:rsidRPr="005203CE" w:rsidRDefault="005203CE" w:rsidP="005203CE">
      <w:pPr>
        <w:spacing w:before="240" w:after="120" w:line="240" w:lineRule="auto"/>
        <w:jc w:val="both"/>
        <w:rPr>
          <w:rFonts w:eastAsia="Times New Roman" w:cs="Times New Roman"/>
          <w:b/>
          <w:bCs/>
          <w:color w:val="000000"/>
          <w:szCs w:val="24"/>
          <w:lang w:eastAsia="hr-HR"/>
        </w:rPr>
      </w:pPr>
      <w:r w:rsidRPr="005203CE">
        <w:rPr>
          <w:rFonts w:eastAsia="Times New Roman" w:cs="Times New Roman"/>
          <w:b/>
          <w:bCs/>
          <w:color w:val="000000"/>
          <w:szCs w:val="24"/>
          <w:lang w:eastAsia="hr-HR"/>
        </w:rPr>
        <w:t>3.2.2.   </w:t>
      </w:r>
      <w:r w:rsidRPr="005203CE">
        <w:rPr>
          <w:rFonts w:ascii="inherit" w:eastAsia="Times New Roman" w:hAnsi="inherit" w:cs="Times New Roman"/>
          <w:b/>
          <w:bCs/>
          <w:i/>
          <w:iCs/>
          <w:color w:val="000000"/>
          <w:szCs w:val="24"/>
          <w:lang w:eastAsia="hr-HR"/>
        </w:rPr>
        <w:t>4. korak: pokazuje li otpad koje od opasnih svojstava od HP 1 do HP 15?</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Kako je navedeno u poglavlju 2.1.1. i detaljnije opisano u Prilogu 3. ovom dokumentu, u Prilogu III. ODO-u opisano je 15 svojstava otpada (od HP 1 do HP 15) koja ga čine opasnim. Table 1 Tablica 1. donosi pregled tih opasnih svojstava.</w:t>
      </w:r>
    </w:p>
    <w:p w:rsidR="005203CE" w:rsidRPr="005203CE" w:rsidRDefault="005203CE" w:rsidP="005203CE">
      <w:pPr>
        <w:spacing w:before="120" w:after="120" w:line="240" w:lineRule="auto"/>
        <w:jc w:val="center"/>
        <w:rPr>
          <w:rFonts w:eastAsia="Times New Roman" w:cs="Times New Roman"/>
          <w:color w:val="000000"/>
          <w:szCs w:val="24"/>
          <w:lang w:eastAsia="hr-HR"/>
        </w:rPr>
      </w:pPr>
      <w:r w:rsidRPr="005203CE">
        <w:rPr>
          <w:rFonts w:ascii="inherit" w:eastAsia="Times New Roman" w:hAnsi="inherit" w:cs="Times New Roman"/>
          <w:i/>
          <w:iCs/>
          <w:color w:val="000000"/>
          <w:szCs w:val="24"/>
          <w:lang w:eastAsia="hr-HR"/>
        </w:rPr>
        <w:t>Tablica 1.</w:t>
      </w:r>
    </w:p>
    <w:p w:rsidR="005203CE" w:rsidRPr="005203CE" w:rsidRDefault="005203CE" w:rsidP="005203CE">
      <w:pPr>
        <w:spacing w:before="120" w:after="120" w:line="240" w:lineRule="auto"/>
        <w:jc w:val="center"/>
        <w:rPr>
          <w:rFonts w:eastAsia="Times New Roman" w:cs="Times New Roman"/>
          <w:color w:val="000000"/>
          <w:szCs w:val="24"/>
          <w:lang w:eastAsia="hr-HR"/>
        </w:rPr>
      </w:pPr>
      <w:r w:rsidRPr="005203CE">
        <w:rPr>
          <w:rFonts w:ascii="inherit" w:eastAsia="Times New Roman" w:hAnsi="inherit" w:cs="Times New Roman"/>
          <w:b/>
          <w:bCs/>
          <w:color w:val="000000"/>
          <w:szCs w:val="24"/>
          <w:lang w:eastAsia="hr-HR"/>
        </w:rPr>
        <w:t>Svojstva otpada koja ga čine opasnim (opis iz Priloga III. ODO-u)</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68"/>
        <w:gridCol w:w="8488"/>
      </w:tblGrid>
      <w:tr w:rsidR="005203CE" w:rsidRPr="005203CE" w:rsidTr="005203CE">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color w:val="000000"/>
                <w:sz w:val="22"/>
                <w:szCs w:val="22"/>
                <w:lang w:eastAsia="hr-HR"/>
              </w:rPr>
            </w:pPr>
            <w:r w:rsidRPr="005203CE">
              <w:rPr>
                <w:rFonts w:ascii="inherit" w:eastAsia="Times New Roman" w:hAnsi="inherit" w:cs="Times New Roman"/>
                <w:b/>
                <w:bCs/>
                <w:color w:val="000000"/>
                <w:sz w:val="22"/>
                <w:szCs w:val="22"/>
                <w:lang w:eastAsia="hr-HR"/>
              </w:rPr>
              <w:t>Opasna svojstva</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t>HP 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t>Eksplozivno</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t>HP 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t>Oksidirajuće</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t>HP 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t>Zapaljivo</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t>HP 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t>Nadražujuće – kožne iritacije i ozljede oka</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t>HP 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t>Specifična toksičnost za ciljni organ</w:t>
            </w:r>
          </w:p>
          <w:p w:rsidR="005203CE" w:rsidRPr="005203CE" w:rsidRDefault="005203CE" w:rsidP="005203CE">
            <w:pPr>
              <w:spacing w:before="60" w:after="60" w:line="240" w:lineRule="auto"/>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t>Aspiracijska toksičnost</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t>HP 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t>Akutna toksičnost</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t>HP 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t>Karcinogeno</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t>HP 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t>Nagrizajuće</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t>HP 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t>Zarazno</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t>HP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t>Toksično za reprodukciju</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t>HP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color w:val="000000"/>
                <w:sz w:val="22"/>
                <w:szCs w:val="22"/>
                <w:lang w:eastAsia="hr-HR"/>
              </w:rPr>
            </w:pPr>
            <w:proofErr w:type="spellStart"/>
            <w:r w:rsidRPr="005203CE">
              <w:rPr>
                <w:rFonts w:ascii="inherit" w:eastAsia="Times New Roman" w:hAnsi="inherit" w:cs="Times New Roman"/>
                <w:color w:val="000000"/>
                <w:sz w:val="22"/>
                <w:szCs w:val="22"/>
                <w:lang w:eastAsia="hr-HR"/>
              </w:rPr>
              <w:t>Mutageno</w:t>
            </w:r>
            <w:proofErr w:type="spellEnd"/>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t>HP 12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t>Oslobađanje akutno toksičnih plinova</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t>HP 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t>Senzibilizirajuće</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t>HP 14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color w:val="000000"/>
                <w:sz w:val="22"/>
                <w:szCs w:val="22"/>
                <w:lang w:eastAsia="hr-HR"/>
              </w:rPr>
            </w:pPr>
            <w:proofErr w:type="spellStart"/>
            <w:r w:rsidRPr="005203CE">
              <w:rPr>
                <w:rFonts w:ascii="inherit" w:eastAsia="Times New Roman" w:hAnsi="inherit" w:cs="Times New Roman"/>
                <w:color w:val="000000"/>
                <w:sz w:val="22"/>
                <w:szCs w:val="22"/>
                <w:lang w:eastAsia="hr-HR"/>
              </w:rPr>
              <w:t>Ekotoksično</w:t>
            </w:r>
            <w:proofErr w:type="spellEnd"/>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lastRenderedPageBreak/>
              <w:t>HP 15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color w:val="000000"/>
                <w:sz w:val="22"/>
                <w:szCs w:val="22"/>
                <w:lang w:eastAsia="hr-HR"/>
              </w:rPr>
            </w:pPr>
            <w:r w:rsidRPr="005203CE">
              <w:rPr>
                <w:rFonts w:ascii="inherit" w:eastAsia="Times New Roman" w:hAnsi="inherit" w:cs="Times New Roman"/>
                <w:color w:val="000000"/>
                <w:sz w:val="22"/>
                <w:szCs w:val="22"/>
                <w:lang w:eastAsia="hr-HR"/>
              </w:rPr>
              <w:t>Otpad koji može imati prethodno navedena opasna svojstva koja izvorni otpad nije izravno pokazivao</w:t>
            </w:r>
          </w:p>
        </w:tc>
      </w:tr>
    </w:tbl>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Po dovršetku 3. koraka trebalo bi biti dostupno dovoljno informacija o relevantnom sastavu predmetnog otpada. To znači da bi se o opasnim tvarima koje otpad sadržava i njihovom razvrstavanju trebalo znati dovoljno (npr. je li im dodijeljena koja relevantna šifra oznake upozorenja u skladu s Uredbom CLP) da bi se mogla primijeniti barem jedna od sljedećih metoda kako bi se utvrdilo pokazuje li otpad opasna svojstva:</w:t>
      </w: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b/>
                <w:bCs/>
                <w:color w:val="000000"/>
                <w:szCs w:val="24"/>
                <w:lang w:eastAsia="hr-HR"/>
              </w:rPr>
              <w:t>izračun</w:t>
            </w:r>
            <w:r w:rsidRPr="005203CE">
              <w:rPr>
                <w:rFonts w:ascii="inherit" w:eastAsia="Times New Roman" w:hAnsi="inherit" w:cs="Times New Roman"/>
                <w:color w:val="000000"/>
                <w:szCs w:val="24"/>
                <w:lang w:eastAsia="hr-HR"/>
              </w:rPr>
              <w:t> kojim se utvrđuje jesu li tvari prisutne u predmetnom otpadu dosegle ili premašile pragove ograničenja koji se temelje na šiframa oznaka upozorenja (vrši se individualno ovisno o svojstvima od HP 4 do HP 14, vidjeti Prilog 3.),</w:t>
            </w:r>
          </w:p>
        </w:tc>
      </w:tr>
    </w:tbl>
    <w:p w:rsidR="005203CE" w:rsidRPr="005203CE" w:rsidRDefault="005203CE" w:rsidP="005203CE">
      <w:pPr>
        <w:spacing w:after="0" w:line="240" w:lineRule="auto"/>
        <w:rPr>
          <w:rFonts w:eastAsia="Times New Roman"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314"/>
        <w:gridCol w:w="8758"/>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b/>
                <w:bCs/>
                <w:color w:val="000000"/>
                <w:szCs w:val="24"/>
                <w:lang w:eastAsia="hr-HR"/>
              </w:rPr>
              <w:t>ispitivanje</w:t>
            </w:r>
            <w:r w:rsidRPr="005203CE">
              <w:rPr>
                <w:rFonts w:ascii="inherit" w:eastAsia="Times New Roman" w:hAnsi="inherit" w:cs="Times New Roman"/>
                <w:color w:val="000000"/>
                <w:szCs w:val="24"/>
                <w:lang w:eastAsia="hr-HR"/>
              </w:rPr>
              <w:t> kojim se utvrđuje pokazuje li otpad opasna svojstva ili ne.</w:t>
            </w:r>
          </w:p>
        </w:tc>
      </w:tr>
    </w:tbl>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Prilog 3. sadržava detaljan opis i smjernice za procjenu pojedinačnih opasnih svojstava od HP 1 do HP 15 </w:t>
      </w:r>
      <w:r w:rsidRPr="005203CE">
        <w:rPr>
          <w:rFonts w:ascii="inherit" w:eastAsia="Times New Roman" w:hAnsi="inherit" w:cs="Times New Roman"/>
          <w:b/>
          <w:bCs/>
          <w:color w:val="000000"/>
          <w:szCs w:val="24"/>
          <w:lang w:eastAsia="hr-HR"/>
        </w:rPr>
        <w:t>izračunom</w:t>
      </w:r>
      <w:r w:rsidRPr="005203CE">
        <w:rPr>
          <w:rFonts w:eastAsia="Times New Roman" w:cs="Times New Roman"/>
          <w:color w:val="000000"/>
          <w:szCs w:val="24"/>
          <w:lang w:eastAsia="hr-HR"/>
        </w:rPr>
        <w:t> ili </w:t>
      </w:r>
      <w:r w:rsidRPr="005203CE">
        <w:rPr>
          <w:rFonts w:ascii="inherit" w:eastAsia="Times New Roman" w:hAnsi="inherit" w:cs="Times New Roman"/>
          <w:b/>
          <w:bCs/>
          <w:color w:val="000000"/>
          <w:szCs w:val="24"/>
          <w:lang w:eastAsia="hr-HR"/>
        </w:rPr>
        <w:t>ispitivanjem</w:t>
      </w:r>
      <w:r w:rsidRPr="005203CE">
        <w:rPr>
          <w:rFonts w:eastAsia="Times New Roman" w:cs="Times New Roman"/>
          <w:color w:val="000000"/>
          <w:szCs w:val="24"/>
          <w:lang w:eastAsia="hr-HR"/>
        </w:rPr>
        <w:t>.</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Kad je riječ o metodi </w:t>
      </w:r>
      <w:r w:rsidRPr="005203CE">
        <w:rPr>
          <w:rFonts w:ascii="inherit" w:eastAsia="Times New Roman" w:hAnsi="inherit" w:cs="Times New Roman"/>
          <w:b/>
          <w:bCs/>
          <w:color w:val="000000"/>
          <w:szCs w:val="24"/>
          <w:lang w:eastAsia="hr-HR"/>
        </w:rPr>
        <w:t>izračuna</w:t>
      </w:r>
      <w:r w:rsidRPr="005203CE">
        <w:rPr>
          <w:rFonts w:eastAsia="Times New Roman" w:cs="Times New Roman"/>
          <w:color w:val="000000"/>
          <w:szCs w:val="24"/>
          <w:lang w:eastAsia="hr-HR"/>
        </w:rPr>
        <w:t>, treba napomenuti da vrijednosti sadržaja opasnih tvari u otpadu koje su utvrđene npr. uzorkovanjem i kemijskom analizom predmetnog otpada treba usporediti s graničnim vrijednostima koncentracija navedenima u Prilogu III. ODO-u. Te se granične vrijednosti koncentracije odnose na stanje otpada u trenutku njegova razvrstavanja, odnosno na svježu masu otpada. Međutim, rezultati dobiveni mnogim analitičkim metodama navode se na temelju mase suhe tvari. Zbog toga analitičke vrijednosti izražene na temelju mase suhe tvari treba ispraviti s obzirom na sadržaj vlage u otpadu kako bi se utvrdila koncentracija tvari u izvornom otpadu kojim će se naknadno gospodariti. Osobe koje razvrstavaju otpad trebale bi imati na umu da laboratoriji često prikazuju rezultate na temelju mase suhe tvari i stoga treba obratiti pozornost na način prikaza rezultata analize. Otpad treba razvrstati na temelju mokre mase (bilo iz izvornog ispitivanja ili nakon pretvorbe vrijednosti koje se odnose na masu suhe tvari). Osim toga, treba izričito napomenuti da je člankom 7. stavkom 4. ODO-a zabranjeno razrjeđivanje ili miješanje otpada radi snižavanja početnih koncentracija opasnih tvari.</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Nadalje, treba imati na umu da se granične koncentracije navedene u Prilogu III. ODO-u ne primjenjuju na čiste legure metala u čvrstom stanju ako nisu kontaminirane opasnim tvarima. Dodatne informacije o razvrstavanju metalnih legura dostupne su u odjeljku 1.4.6. Priloga 1.</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Dodatne smjernice za uzorkovanje i kemijsku analizu otpada u svrhu primjene metode izračuna dostupne su u Prilogu 4.</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ascii="inherit" w:eastAsia="Times New Roman" w:hAnsi="inherit" w:cs="Times New Roman"/>
          <w:b/>
          <w:bCs/>
          <w:color w:val="000000"/>
          <w:szCs w:val="24"/>
          <w:lang w:eastAsia="hr-HR"/>
        </w:rPr>
        <w:t>Izravno ispitivanje</w:t>
      </w:r>
      <w:r w:rsidRPr="005203CE">
        <w:rPr>
          <w:rFonts w:eastAsia="Times New Roman" w:cs="Times New Roman"/>
          <w:color w:val="000000"/>
          <w:szCs w:val="24"/>
          <w:lang w:eastAsia="hr-HR"/>
        </w:rPr>
        <w:t> radi utvrđivanja prisutnosti određenog opasnog svojstva može biti primjereno u nekim slučajevima i za neka opasna svojstva (npr. fizikalna svojstva poput HP 1 „eksplozivno”, HP 2 „oksidirajuće” i HP 3 „zapaljivo”).</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U skladu s Prilogom Popisu otpada,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„kada je opasno svojstvo otpada ocijenjeno ispitivanjem i korištenjem koncentracija opasnih tvari kao što je navedeno u Prilogu III. Direktivi 2008/98/EZ, prednost imaju rezultati ispitivanja”.</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Konačno, ako otpad pokazuje </w:t>
      </w:r>
      <w:r w:rsidRPr="005203CE">
        <w:rPr>
          <w:rFonts w:ascii="inherit" w:eastAsia="Times New Roman" w:hAnsi="inherit" w:cs="Times New Roman"/>
          <w:color w:val="000000"/>
          <w:szCs w:val="24"/>
          <w:u w:val="single"/>
          <w:lang w:eastAsia="hr-HR"/>
        </w:rPr>
        <w:t>jedno od 15 opasnih svojstava ili više njih</w:t>
      </w:r>
      <w:r w:rsidRPr="005203CE">
        <w:rPr>
          <w:rFonts w:eastAsia="Times New Roman" w:cs="Times New Roman"/>
          <w:color w:val="000000"/>
          <w:szCs w:val="24"/>
          <w:lang w:eastAsia="hr-HR"/>
        </w:rPr>
        <w:t>, treba ga rasporediti u odgovarajući zrcalni opasni unos. Suprotno tome, ako otpad ne pokazuje ni jedno opasno svojstvo, treba poduzeti 5. korak da bi se provjerilo sadržava li otpad određene postojane organske onečišćujuće tvari u količini većoj od odgovarajućih graničnih vrijednosti. To je posljednji korak prije raspoređivanja predmetnog otpada u zrcalni opasni unos ili zrcalni neopasni unos.</w:t>
      </w:r>
    </w:p>
    <w:p w:rsidR="005203CE" w:rsidRPr="005203CE" w:rsidRDefault="005203CE" w:rsidP="005203CE">
      <w:pPr>
        <w:spacing w:before="240" w:after="120" w:line="240" w:lineRule="auto"/>
        <w:jc w:val="both"/>
        <w:rPr>
          <w:rFonts w:eastAsia="Times New Roman" w:cs="Times New Roman"/>
          <w:b/>
          <w:bCs/>
          <w:color w:val="000000"/>
          <w:szCs w:val="24"/>
          <w:lang w:eastAsia="hr-HR"/>
        </w:rPr>
      </w:pPr>
      <w:r w:rsidRPr="005203CE">
        <w:rPr>
          <w:rFonts w:eastAsia="Times New Roman" w:cs="Times New Roman"/>
          <w:b/>
          <w:bCs/>
          <w:color w:val="000000"/>
          <w:szCs w:val="24"/>
          <w:lang w:eastAsia="hr-HR"/>
        </w:rPr>
        <w:lastRenderedPageBreak/>
        <w:t>3.2.3.   </w:t>
      </w:r>
      <w:r w:rsidRPr="005203CE">
        <w:rPr>
          <w:rFonts w:ascii="inherit" w:eastAsia="Times New Roman" w:hAnsi="inherit" w:cs="Times New Roman"/>
          <w:b/>
          <w:bCs/>
          <w:i/>
          <w:iCs/>
          <w:color w:val="000000"/>
          <w:szCs w:val="24"/>
          <w:lang w:eastAsia="hr-HR"/>
        </w:rPr>
        <w:t>5. korak: je li vjerojatno ili poznato da otpad sadržava bilo koju od postojanih organskih onečišćujućih tvari iz Priloga Popisu otpada (točka 2. treća alineja)?</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U posljednjem koraku u razvrstavanju otpada kao opasnog ili neopasnog treba utvrditi sadržava li otpad bilo koju od postojanih organskih onečišćujućih tvari iz Priloga Popisu otpada (točka 2. treća alineja), točnije premašuje li sadržaj određenih postojanih organskih onečišćujućih tvari relevantne granične vrijednosti iz Uredbe POP. U odjeljku 1.4.10. Priloga 1. dostupan je detaljan pregled, uključujući popis postojanih organskih onečišćujućih tvari koje treba razmotriti i odgovarajuće granične koncentracije.</w:t>
      </w:r>
    </w:p>
    <w:p w:rsidR="005203CE" w:rsidRPr="005203CE" w:rsidRDefault="005203CE" w:rsidP="005203CE">
      <w:pPr>
        <w:spacing w:before="120" w:after="0" w:line="240" w:lineRule="auto"/>
        <w:jc w:val="both"/>
        <w:rPr>
          <w:rFonts w:eastAsia="Times New Roman" w:cs="Times New Roman"/>
          <w:color w:val="000000"/>
          <w:szCs w:val="24"/>
          <w:lang w:eastAsia="hr-HR"/>
        </w:rPr>
      </w:pPr>
      <w:r w:rsidRPr="005203CE">
        <w:rPr>
          <w:rFonts w:eastAsia="Times New Roman" w:cs="Times New Roman"/>
          <w:color w:val="000000"/>
          <w:szCs w:val="24"/>
          <w:lang w:eastAsia="hr-HR"/>
        </w:rPr>
        <w:t>Ako otpad ne sadržava relevantne postojane organske onečišćujuće tvari ili je njihov sadržaj ispod graničnih koncentracija, raspoređuje se u zrcalni neopasni unos. U suprotnome se raspoređuje u zrcalni opasni unos.</w:t>
      </w:r>
    </w:p>
    <w:p w:rsidR="005203CE" w:rsidRPr="005203CE" w:rsidRDefault="00144F85" w:rsidP="005203CE">
      <w:pPr>
        <w:spacing w:before="240" w:after="60" w:line="240" w:lineRule="auto"/>
        <w:rPr>
          <w:rFonts w:eastAsia="Times New Roman" w:cs="Times New Roman"/>
          <w:szCs w:val="24"/>
          <w:lang w:eastAsia="hr-HR"/>
        </w:rPr>
      </w:pPr>
      <w:r>
        <w:rPr>
          <w:rFonts w:eastAsia="Times New Roman" w:cs="Times New Roman"/>
          <w:szCs w:val="24"/>
          <w:lang w:eastAsia="hr-HR"/>
        </w:rPr>
        <w:pict>
          <v:rect id="_x0000_i1025" style="width:277.65pt;height:.75pt" o:hrpct="0" o:hrstd="t" o:hrnoshade="t" o:hr="t" fillcolor="black" stroked="f"/>
        </w:pict>
      </w:r>
    </w:p>
    <w:p w:rsidR="005203CE" w:rsidRPr="005203CE" w:rsidRDefault="00144F85" w:rsidP="005203CE">
      <w:pPr>
        <w:spacing w:before="60" w:after="60" w:line="240" w:lineRule="auto"/>
        <w:jc w:val="both"/>
        <w:rPr>
          <w:rFonts w:eastAsia="Times New Roman" w:cs="Times New Roman"/>
          <w:color w:val="000000"/>
          <w:sz w:val="19"/>
          <w:szCs w:val="19"/>
          <w:lang w:eastAsia="hr-HR"/>
        </w:rPr>
      </w:pPr>
      <w:hyperlink r:id="rId30" w:anchor="ntc1-C_2018124HR.01000101-E0001"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1</w:t>
        </w:r>
        <w:r w:rsidR="005203CE" w:rsidRPr="005203CE">
          <w:rPr>
            <w:rFonts w:ascii="inherit" w:eastAsia="Times New Roman" w:hAnsi="inherit" w:cs="Times New Roman"/>
            <w:color w:val="0000FF"/>
            <w:sz w:val="19"/>
            <w:szCs w:val="19"/>
            <w:u w:val="single"/>
            <w:lang w:eastAsia="hr-HR"/>
          </w:rPr>
          <w:t>)</w:t>
        </w:r>
      </w:hyperlink>
      <w:r w:rsidR="005203CE" w:rsidRPr="005203CE">
        <w:rPr>
          <w:rFonts w:eastAsia="Times New Roman" w:cs="Times New Roman"/>
          <w:color w:val="000000"/>
          <w:sz w:val="19"/>
          <w:szCs w:val="19"/>
          <w:lang w:eastAsia="hr-HR"/>
        </w:rPr>
        <w:t>  Direktiva 2008/98/EZ Europskog parlamenta i Vijeća od 19. studenoga 2008. o otpadu i stavljanju izvan snage određenih direktiva (</w:t>
      </w:r>
      <w:hyperlink r:id="rId31" w:history="1">
        <w:r w:rsidR="005203CE" w:rsidRPr="005203CE">
          <w:rPr>
            <w:rFonts w:ascii="inherit" w:eastAsia="Times New Roman" w:hAnsi="inherit" w:cs="Times New Roman"/>
            <w:color w:val="0000FF"/>
            <w:sz w:val="19"/>
            <w:szCs w:val="19"/>
            <w:u w:val="single"/>
            <w:lang w:eastAsia="hr-HR"/>
          </w:rPr>
          <w:t>SL L 312, 22.11.2008., str. 3.</w:t>
        </w:r>
      </w:hyperlink>
      <w:r w:rsidR="005203CE" w:rsidRPr="005203CE">
        <w:rPr>
          <w:rFonts w:eastAsia="Times New Roman" w:cs="Times New Roman"/>
          <w:color w:val="000000"/>
          <w:sz w:val="19"/>
          <w:szCs w:val="19"/>
          <w:lang w:eastAsia="hr-HR"/>
        </w:rPr>
        <w:t>).</w:t>
      </w:r>
    </w:p>
    <w:p w:rsidR="005203CE" w:rsidRPr="005203CE" w:rsidRDefault="00144F85" w:rsidP="005203CE">
      <w:pPr>
        <w:spacing w:before="60" w:after="60" w:line="240" w:lineRule="auto"/>
        <w:jc w:val="both"/>
        <w:rPr>
          <w:rFonts w:eastAsia="Times New Roman" w:cs="Times New Roman"/>
          <w:color w:val="000000"/>
          <w:sz w:val="19"/>
          <w:szCs w:val="19"/>
          <w:lang w:eastAsia="hr-HR"/>
        </w:rPr>
      </w:pPr>
      <w:hyperlink r:id="rId32" w:anchor="ntc2-C_2018124HR.01000101-E0002"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2</w:t>
        </w:r>
        <w:r w:rsidR="005203CE" w:rsidRPr="005203CE">
          <w:rPr>
            <w:rFonts w:ascii="inherit" w:eastAsia="Times New Roman" w:hAnsi="inherit" w:cs="Times New Roman"/>
            <w:color w:val="0000FF"/>
            <w:sz w:val="19"/>
            <w:szCs w:val="19"/>
            <w:u w:val="single"/>
            <w:lang w:eastAsia="hr-HR"/>
          </w:rPr>
          <w:t>)</w:t>
        </w:r>
      </w:hyperlink>
      <w:r w:rsidR="005203CE" w:rsidRPr="005203CE">
        <w:rPr>
          <w:rFonts w:eastAsia="Times New Roman" w:cs="Times New Roman"/>
          <w:color w:val="000000"/>
          <w:sz w:val="19"/>
          <w:szCs w:val="19"/>
          <w:lang w:eastAsia="hr-HR"/>
        </w:rPr>
        <w:t>  Odluka Komisije 2000/532/EZ o popisu otpada u skladu s Direktivom 2008/98/EZ Europskog parlamenta i Vijeća (</w:t>
      </w:r>
      <w:hyperlink r:id="rId33" w:history="1">
        <w:r w:rsidR="005203CE" w:rsidRPr="005203CE">
          <w:rPr>
            <w:rFonts w:ascii="inherit" w:eastAsia="Times New Roman" w:hAnsi="inherit" w:cs="Times New Roman"/>
            <w:color w:val="0000FF"/>
            <w:sz w:val="19"/>
            <w:szCs w:val="19"/>
            <w:u w:val="single"/>
            <w:lang w:eastAsia="hr-HR"/>
          </w:rPr>
          <w:t>SL L 226, 6.9.2000., str. 3.</w:t>
        </w:r>
      </w:hyperlink>
      <w:r w:rsidR="005203CE" w:rsidRPr="005203CE">
        <w:rPr>
          <w:rFonts w:eastAsia="Times New Roman" w:cs="Times New Roman"/>
          <w:color w:val="000000"/>
          <w:sz w:val="19"/>
          <w:szCs w:val="19"/>
          <w:lang w:eastAsia="hr-HR"/>
        </w:rPr>
        <w:t>).</w:t>
      </w:r>
    </w:p>
    <w:p w:rsidR="005203CE" w:rsidRPr="005203CE" w:rsidRDefault="00144F85" w:rsidP="005203CE">
      <w:pPr>
        <w:spacing w:before="60" w:after="60" w:line="240" w:lineRule="auto"/>
        <w:jc w:val="both"/>
        <w:rPr>
          <w:rFonts w:eastAsia="Times New Roman" w:cs="Times New Roman"/>
          <w:color w:val="000000"/>
          <w:sz w:val="19"/>
          <w:szCs w:val="19"/>
          <w:lang w:eastAsia="hr-HR"/>
        </w:rPr>
      </w:pPr>
      <w:hyperlink r:id="rId34" w:anchor="ntc3-C_2018124HR.01000101-E0003"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3</w:t>
        </w:r>
        <w:r w:rsidR="005203CE" w:rsidRPr="005203CE">
          <w:rPr>
            <w:rFonts w:ascii="inherit" w:eastAsia="Times New Roman" w:hAnsi="inherit" w:cs="Times New Roman"/>
            <w:color w:val="0000FF"/>
            <w:sz w:val="19"/>
            <w:szCs w:val="19"/>
            <w:u w:val="single"/>
            <w:lang w:eastAsia="hr-HR"/>
          </w:rPr>
          <w:t>)</w:t>
        </w:r>
      </w:hyperlink>
      <w:r w:rsidR="005203CE" w:rsidRPr="005203CE">
        <w:rPr>
          <w:rFonts w:eastAsia="Times New Roman" w:cs="Times New Roman"/>
          <w:color w:val="000000"/>
          <w:sz w:val="19"/>
          <w:szCs w:val="19"/>
          <w:lang w:eastAsia="hr-HR"/>
        </w:rPr>
        <w:t>  Jednomjesečno savjetovanje s dionicima održano je u lipnju 2015., vidjeti http://ec.europa.eu/environment/waste/hazardous_index.htm. Radionica za dionike održana je u Bruxellesu 30. lipnja 2015.</w:t>
      </w:r>
    </w:p>
    <w:p w:rsidR="005203CE" w:rsidRPr="005203CE" w:rsidRDefault="00144F85" w:rsidP="005203CE">
      <w:pPr>
        <w:spacing w:before="60" w:after="60" w:line="240" w:lineRule="auto"/>
        <w:jc w:val="both"/>
        <w:rPr>
          <w:rFonts w:eastAsia="Times New Roman" w:cs="Times New Roman"/>
          <w:color w:val="000000"/>
          <w:sz w:val="19"/>
          <w:szCs w:val="19"/>
          <w:lang w:eastAsia="hr-HR"/>
        </w:rPr>
      </w:pPr>
      <w:hyperlink r:id="rId35" w:anchor="ntc4-C_2018124HR.01000101-E0004"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4</w:t>
        </w:r>
        <w:r w:rsidR="005203CE" w:rsidRPr="005203CE">
          <w:rPr>
            <w:rFonts w:ascii="inherit" w:eastAsia="Times New Roman" w:hAnsi="inherit" w:cs="Times New Roman"/>
            <w:color w:val="0000FF"/>
            <w:sz w:val="19"/>
            <w:szCs w:val="19"/>
            <w:u w:val="single"/>
            <w:lang w:eastAsia="hr-HR"/>
          </w:rPr>
          <w:t>)</w:t>
        </w:r>
      </w:hyperlink>
      <w:r w:rsidR="005203CE" w:rsidRPr="005203CE">
        <w:rPr>
          <w:rFonts w:eastAsia="Times New Roman" w:cs="Times New Roman"/>
          <w:color w:val="000000"/>
          <w:sz w:val="19"/>
          <w:szCs w:val="19"/>
          <w:lang w:eastAsia="hr-HR"/>
        </w:rPr>
        <w:t>  Direktiva 2008/98/EZ Europskog parlamenta i Vijeća od 19. studenoga 2008. o otpadu i stavljanju izvan snage određenih direktiva (</w:t>
      </w:r>
      <w:hyperlink r:id="rId36" w:history="1">
        <w:r w:rsidR="005203CE" w:rsidRPr="005203CE">
          <w:rPr>
            <w:rFonts w:ascii="inherit" w:eastAsia="Times New Roman" w:hAnsi="inherit" w:cs="Times New Roman"/>
            <w:color w:val="0000FF"/>
            <w:sz w:val="19"/>
            <w:szCs w:val="19"/>
            <w:u w:val="single"/>
            <w:lang w:eastAsia="hr-HR"/>
          </w:rPr>
          <w:t>SL L 312, 22.11.2008., str. 3.</w:t>
        </w:r>
      </w:hyperlink>
      <w:r w:rsidR="005203CE" w:rsidRPr="005203CE">
        <w:rPr>
          <w:rFonts w:eastAsia="Times New Roman" w:cs="Times New Roman"/>
          <w:color w:val="000000"/>
          <w:sz w:val="19"/>
          <w:szCs w:val="19"/>
          <w:lang w:eastAsia="hr-HR"/>
        </w:rPr>
        <w:t>).</w:t>
      </w:r>
    </w:p>
    <w:p w:rsidR="005203CE" w:rsidRPr="005203CE" w:rsidRDefault="00144F85" w:rsidP="005203CE">
      <w:pPr>
        <w:spacing w:before="60" w:after="60" w:line="240" w:lineRule="auto"/>
        <w:jc w:val="both"/>
        <w:rPr>
          <w:rFonts w:eastAsia="Times New Roman" w:cs="Times New Roman"/>
          <w:color w:val="000000"/>
          <w:sz w:val="19"/>
          <w:szCs w:val="19"/>
          <w:lang w:eastAsia="hr-HR"/>
        </w:rPr>
      </w:pPr>
      <w:hyperlink r:id="rId37" w:anchor="ntc5-C_2018124HR.01000101-E0005"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5</w:t>
        </w:r>
        <w:r w:rsidR="005203CE" w:rsidRPr="005203CE">
          <w:rPr>
            <w:rFonts w:ascii="inherit" w:eastAsia="Times New Roman" w:hAnsi="inherit" w:cs="Times New Roman"/>
            <w:color w:val="0000FF"/>
            <w:sz w:val="19"/>
            <w:szCs w:val="19"/>
            <w:u w:val="single"/>
            <w:lang w:eastAsia="hr-HR"/>
          </w:rPr>
          <w:t>)</w:t>
        </w:r>
      </w:hyperlink>
      <w:r w:rsidR="005203CE" w:rsidRPr="005203CE">
        <w:rPr>
          <w:rFonts w:eastAsia="Times New Roman" w:cs="Times New Roman"/>
          <w:color w:val="000000"/>
          <w:sz w:val="19"/>
          <w:szCs w:val="19"/>
          <w:lang w:eastAsia="hr-HR"/>
        </w:rPr>
        <w:t>  Odluka Komisije 2000/532/EZ o popisu otpada u skladu s Direktivom 2008/98/EZ Europskog parlamenta i Vijeća (</w:t>
      </w:r>
      <w:hyperlink r:id="rId38" w:history="1">
        <w:r w:rsidR="005203CE" w:rsidRPr="005203CE">
          <w:rPr>
            <w:rFonts w:ascii="inherit" w:eastAsia="Times New Roman" w:hAnsi="inherit" w:cs="Times New Roman"/>
            <w:color w:val="0000FF"/>
            <w:sz w:val="19"/>
            <w:szCs w:val="19"/>
            <w:u w:val="single"/>
            <w:lang w:eastAsia="hr-HR"/>
          </w:rPr>
          <w:t>SL L 226, 6.9.2000., str. 3.</w:t>
        </w:r>
      </w:hyperlink>
      <w:r w:rsidR="005203CE" w:rsidRPr="005203CE">
        <w:rPr>
          <w:rFonts w:eastAsia="Times New Roman" w:cs="Times New Roman"/>
          <w:color w:val="000000"/>
          <w:sz w:val="19"/>
          <w:szCs w:val="19"/>
          <w:lang w:eastAsia="hr-HR"/>
        </w:rPr>
        <w:t>).</w:t>
      </w:r>
    </w:p>
    <w:p w:rsidR="005203CE" w:rsidRPr="005203CE" w:rsidRDefault="00144F85" w:rsidP="005203CE">
      <w:pPr>
        <w:spacing w:before="60" w:after="60" w:line="240" w:lineRule="auto"/>
        <w:jc w:val="both"/>
        <w:rPr>
          <w:rFonts w:eastAsia="Times New Roman" w:cs="Times New Roman"/>
          <w:color w:val="000000"/>
          <w:sz w:val="19"/>
          <w:szCs w:val="19"/>
          <w:lang w:eastAsia="hr-HR"/>
        </w:rPr>
      </w:pPr>
      <w:hyperlink r:id="rId39" w:anchor="ntc6-C_2018124HR.01000101-E0006"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6</w:t>
        </w:r>
        <w:r w:rsidR="005203CE" w:rsidRPr="005203CE">
          <w:rPr>
            <w:rFonts w:ascii="inherit" w:eastAsia="Times New Roman" w:hAnsi="inherit" w:cs="Times New Roman"/>
            <w:color w:val="0000FF"/>
            <w:sz w:val="19"/>
            <w:szCs w:val="19"/>
            <w:u w:val="single"/>
            <w:lang w:eastAsia="hr-HR"/>
          </w:rPr>
          <w:t>)</w:t>
        </w:r>
      </w:hyperlink>
      <w:r w:rsidR="005203CE" w:rsidRPr="005203CE">
        <w:rPr>
          <w:rFonts w:eastAsia="Times New Roman" w:cs="Times New Roman"/>
          <w:color w:val="000000"/>
          <w:sz w:val="19"/>
          <w:szCs w:val="19"/>
          <w:lang w:eastAsia="hr-HR"/>
        </w:rPr>
        <w:t>  Europska komisija – Glavna uprava za okoliš (2013.): Smjernice za tumačenje ključnih odredaba Direktive 2008/98/EZ o otpadu, vidjeti http://ec.europa.eu/environment/waste/framework/pdf/guidance_doc.pdf.</w:t>
      </w:r>
    </w:p>
    <w:p w:rsidR="005203CE" w:rsidRPr="005203CE" w:rsidRDefault="00144F85" w:rsidP="005203CE">
      <w:pPr>
        <w:spacing w:before="60" w:after="60" w:line="240" w:lineRule="auto"/>
        <w:jc w:val="both"/>
        <w:rPr>
          <w:rFonts w:eastAsia="Times New Roman" w:cs="Times New Roman"/>
          <w:color w:val="000000"/>
          <w:sz w:val="19"/>
          <w:szCs w:val="19"/>
          <w:lang w:eastAsia="hr-HR"/>
        </w:rPr>
      </w:pPr>
      <w:hyperlink r:id="rId40" w:anchor="ntc7-C_2018124HR.01000101-E0007"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7</w:t>
        </w:r>
        <w:r w:rsidR="005203CE" w:rsidRPr="005203CE">
          <w:rPr>
            <w:rFonts w:ascii="inherit" w:eastAsia="Times New Roman" w:hAnsi="inherit" w:cs="Times New Roman"/>
            <w:color w:val="0000FF"/>
            <w:sz w:val="19"/>
            <w:szCs w:val="19"/>
            <w:u w:val="single"/>
            <w:lang w:eastAsia="hr-HR"/>
          </w:rPr>
          <w:t>)</w:t>
        </w:r>
      </w:hyperlink>
      <w:r w:rsidR="005203CE" w:rsidRPr="005203CE">
        <w:rPr>
          <w:rFonts w:eastAsia="Times New Roman" w:cs="Times New Roman"/>
          <w:color w:val="000000"/>
          <w:sz w:val="19"/>
          <w:szCs w:val="19"/>
          <w:lang w:eastAsia="hr-HR"/>
        </w:rPr>
        <w:t>  Direktiva Vijeća 1999/31/EZ od 26. travnja 1999. o odlagalištima otpada (</w:t>
      </w:r>
      <w:hyperlink r:id="rId41" w:history="1">
        <w:r w:rsidR="005203CE" w:rsidRPr="005203CE">
          <w:rPr>
            <w:rFonts w:ascii="inherit" w:eastAsia="Times New Roman" w:hAnsi="inherit" w:cs="Times New Roman"/>
            <w:color w:val="0000FF"/>
            <w:sz w:val="19"/>
            <w:szCs w:val="19"/>
            <w:u w:val="single"/>
            <w:lang w:eastAsia="hr-HR"/>
          </w:rPr>
          <w:t>SL L 182, 16.7.1999., str. 1.</w:t>
        </w:r>
      </w:hyperlink>
      <w:r w:rsidR="005203CE" w:rsidRPr="005203CE">
        <w:rPr>
          <w:rFonts w:eastAsia="Times New Roman" w:cs="Times New Roman"/>
          <w:color w:val="000000"/>
          <w:sz w:val="19"/>
          <w:szCs w:val="19"/>
          <w:lang w:eastAsia="hr-HR"/>
        </w:rPr>
        <w:t>).</w:t>
      </w:r>
    </w:p>
    <w:p w:rsidR="005203CE" w:rsidRPr="005203CE" w:rsidRDefault="00144F85" w:rsidP="005203CE">
      <w:pPr>
        <w:spacing w:before="60" w:after="60" w:line="240" w:lineRule="auto"/>
        <w:jc w:val="both"/>
        <w:rPr>
          <w:rFonts w:eastAsia="Times New Roman" w:cs="Times New Roman"/>
          <w:color w:val="000000"/>
          <w:sz w:val="19"/>
          <w:szCs w:val="19"/>
          <w:lang w:eastAsia="hr-HR"/>
        </w:rPr>
      </w:pPr>
      <w:hyperlink r:id="rId42" w:anchor="ntc8-C_2018124HR.01000101-E0008"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8</w:t>
        </w:r>
        <w:r w:rsidR="005203CE" w:rsidRPr="005203CE">
          <w:rPr>
            <w:rFonts w:ascii="inherit" w:eastAsia="Times New Roman" w:hAnsi="inherit" w:cs="Times New Roman"/>
            <w:color w:val="0000FF"/>
            <w:sz w:val="19"/>
            <w:szCs w:val="19"/>
            <w:u w:val="single"/>
            <w:lang w:eastAsia="hr-HR"/>
          </w:rPr>
          <w:t>)</w:t>
        </w:r>
      </w:hyperlink>
      <w:r w:rsidR="005203CE" w:rsidRPr="005203CE">
        <w:rPr>
          <w:rFonts w:eastAsia="Times New Roman" w:cs="Times New Roman"/>
          <w:color w:val="000000"/>
          <w:sz w:val="19"/>
          <w:szCs w:val="19"/>
          <w:lang w:eastAsia="hr-HR"/>
        </w:rPr>
        <w:t>  Direktiva 2010/75/EU Europskog parlamenta i Vijeća od 24. studenoga 2010. o industrijskim emisijama (integrirano sprečavanje i kontrola onečišćenja) (</w:t>
      </w:r>
      <w:hyperlink r:id="rId43" w:history="1">
        <w:r w:rsidR="005203CE" w:rsidRPr="005203CE">
          <w:rPr>
            <w:rFonts w:ascii="inherit" w:eastAsia="Times New Roman" w:hAnsi="inherit" w:cs="Times New Roman"/>
            <w:color w:val="0000FF"/>
            <w:sz w:val="19"/>
            <w:szCs w:val="19"/>
            <w:u w:val="single"/>
            <w:lang w:eastAsia="hr-HR"/>
          </w:rPr>
          <w:t>SL L 334, 17.12.2010., str. 17.</w:t>
        </w:r>
      </w:hyperlink>
      <w:r w:rsidR="005203CE" w:rsidRPr="005203CE">
        <w:rPr>
          <w:rFonts w:eastAsia="Times New Roman" w:cs="Times New Roman"/>
          <w:color w:val="000000"/>
          <w:sz w:val="19"/>
          <w:szCs w:val="19"/>
          <w:lang w:eastAsia="hr-HR"/>
        </w:rPr>
        <w:t>).</w:t>
      </w:r>
    </w:p>
    <w:p w:rsidR="005203CE" w:rsidRPr="005203CE" w:rsidRDefault="00144F85" w:rsidP="005203CE">
      <w:pPr>
        <w:spacing w:before="60" w:after="60" w:line="240" w:lineRule="auto"/>
        <w:jc w:val="both"/>
        <w:rPr>
          <w:rFonts w:eastAsia="Times New Roman" w:cs="Times New Roman"/>
          <w:color w:val="000000"/>
          <w:sz w:val="19"/>
          <w:szCs w:val="19"/>
          <w:lang w:eastAsia="hr-HR"/>
        </w:rPr>
      </w:pPr>
      <w:hyperlink r:id="rId44" w:anchor="ntc9-C_2018124HR.01000101-E0009"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9</w:t>
        </w:r>
        <w:r w:rsidR="005203CE" w:rsidRPr="005203CE">
          <w:rPr>
            <w:rFonts w:ascii="inherit" w:eastAsia="Times New Roman" w:hAnsi="inherit" w:cs="Times New Roman"/>
            <w:color w:val="0000FF"/>
            <w:sz w:val="19"/>
            <w:szCs w:val="19"/>
            <w:u w:val="single"/>
            <w:lang w:eastAsia="hr-HR"/>
          </w:rPr>
          <w:t>)</w:t>
        </w:r>
      </w:hyperlink>
      <w:r w:rsidR="005203CE" w:rsidRPr="005203CE">
        <w:rPr>
          <w:rFonts w:eastAsia="Times New Roman" w:cs="Times New Roman"/>
          <w:color w:val="000000"/>
          <w:sz w:val="19"/>
          <w:szCs w:val="19"/>
          <w:lang w:eastAsia="hr-HR"/>
        </w:rPr>
        <w:t>  Uredba Komisije (EU) br. 1357/2014 оd 18. prosinca 2014. o zamjeni Priloga III. Direktivi 2008/98/EZ Europskog parlamenta i Vijeća o otpadu i stavljaju izvan snage određenih direktiva (</w:t>
      </w:r>
      <w:hyperlink r:id="rId45" w:history="1">
        <w:r w:rsidR="005203CE" w:rsidRPr="005203CE">
          <w:rPr>
            <w:rFonts w:ascii="inherit" w:eastAsia="Times New Roman" w:hAnsi="inherit" w:cs="Times New Roman"/>
            <w:color w:val="0000FF"/>
            <w:sz w:val="19"/>
            <w:szCs w:val="19"/>
            <w:u w:val="single"/>
            <w:lang w:eastAsia="hr-HR"/>
          </w:rPr>
          <w:t>SL L 365, 19.12.2014., str. 89.</w:t>
        </w:r>
      </w:hyperlink>
      <w:r w:rsidR="005203CE" w:rsidRPr="005203CE">
        <w:rPr>
          <w:rFonts w:eastAsia="Times New Roman" w:cs="Times New Roman"/>
          <w:color w:val="000000"/>
          <w:sz w:val="19"/>
          <w:szCs w:val="19"/>
          <w:lang w:eastAsia="hr-HR"/>
        </w:rPr>
        <w:t>).</w:t>
      </w:r>
    </w:p>
    <w:p w:rsidR="005203CE" w:rsidRPr="005203CE" w:rsidRDefault="00144F85" w:rsidP="005203CE">
      <w:pPr>
        <w:spacing w:before="60" w:after="60" w:line="240" w:lineRule="auto"/>
        <w:jc w:val="both"/>
        <w:rPr>
          <w:rFonts w:eastAsia="Times New Roman" w:cs="Times New Roman"/>
          <w:color w:val="000000"/>
          <w:sz w:val="19"/>
          <w:szCs w:val="19"/>
          <w:lang w:eastAsia="hr-HR"/>
        </w:rPr>
      </w:pPr>
      <w:hyperlink r:id="rId46" w:anchor="ntc10-C_2018124HR.01000101-E0010"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10</w:t>
        </w:r>
        <w:r w:rsidR="005203CE" w:rsidRPr="005203CE">
          <w:rPr>
            <w:rFonts w:ascii="inherit" w:eastAsia="Times New Roman" w:hAnsi="inherit" w:cs="Times New Roman"/>
            <w:color w:val="0000FF"/>
            <w:sz w:val="19"/>
            <w:szCs w:val="19"/>
            <w:u w:val="single"/>
            <w:lang w:eastAsia="hr-HR"/>
          </w:rPr>
          <w:t>)</w:t>
        </w:r>
      </w:hyperlink>
      <w:r w:rsidR="005203CE" w:rsidRPr="005203CE">
        <w:rPr>
          <w:rFonts w:eastAsia="Times New Roman" w:cs="Times New Roman"/>
          <w:color w:val="000000"/>
          <w:sz w:val="19"/>
          <w:szCs w:val="19"/>
          <w:lang w:eastAsia="hr-HR"/>
        </w:rPr>
        <w:t>  Uredba Vijeća (EU) 2017/997 od 8. lipnja 2017. o izmjeni Priloga III. Direktivi 2008/98/EZ Europskog parlamenta i Vijeća u pogledu opasnog svojstva HP 14 „ekotoksično” (</w:t>
      </w:r>
      <w:hyperlink r:id="rId47" w:history="1">
        <w:r w:rsidR="005203CE" w:rsidRPr="005203CE">
          <w:rPr>
            <w:rFonts w:ascii="inherit" w:eastAsia="Times New Roman" w:hAnsi="inherit" w:cs="Times New Roman"/>
            <w:color w:val="0000FF"/>
            <w:sz w:val="19"/>
            <w:szCs w:val="19"/>
            <w:u w:val="single"/>
            <w:lang w:eastAsia="hr-HR"/>
          </w:rPr>
          <w:t>SL L 150, 14.6.2017., str. 1.</w:t>
        </w:r>
      </w:hyperlink>
      <w:r w:rsidR="005203CE" w:rsidRPr="005203CE">
        <w:rPr>
          <w:rFonts w:eastAsia="Times New Roman" w:cs="Times New Roman"/>
          <w:color w:val="000000"/>
          <w:sz w:val="19"/>
          <w:szCs w:val="19"/>
          <w:lang w:eastAsia="hr-HR"/>
        </w:rPr>
        <w:t>).</w:t>
      </w:r>
    </w:p>
    <w:p w:rsidR="005203CE" w:rsidRPr="005203CE" w:rsidRDefault="00144F85" w:rsidP="005203CE">
      <w:pPr>
        <w:spacing w:before="60" w:after="60" w:line="240" w:lineRule="auto"/>
        <w:jc w:val="both"/>
        <w:rPr>
          <w:rFonts w:eastAsia="Times New Roman" w:cs="Times New Roman"/>
          <w:color w:val="000000"/>
          <w:sz w:val="19"/>
          <w:szCs w:val="19"/>
          <w:lang w:eastAsia="hr-HR"/>
        </w:rPr>
      </w:pPr>
      <w:hyperlink r:id="rId48" w:anchor="ntc11-C_2018124HR.01000101-E0011"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11</w:t>
        </w:r>
        <w:r w:rsidR="005203CE" w:rsidRPr="005203CE">
          <w:rPr>
            <w:rFonts w:ascii="inherit" w:eastAsia="Times New Roman" w:hAnsi="inherit" w:cs="Times New Roman"/>
            <w:color w:val="0000FF"/>
            <w:sz w:val="19"/>
            <w:szCs w:val="19"/>
            <w:u w:val="single"/>
            <w:lang w:eastAsia="hr-HR"/>
          </w:rPr>
          <w:t>)</w:t>
        </w:r>
      </w:hyperlink>
      <w:r w:rsidR="005203CE" w:rsidRPr="005203CE">
        <w:rPr>
          <w:rFonts w:eastAsia="Times New Roman" w:cs="Times New Roman"/>
          <w:color w:val="000000"/>
          <w:sz w:val="19"/>
          <w:szCs w:val="19"/>
          <w:lang w:eastAsia="hr-HR"/>
        </w:rPr>
        <w:t>  Odluka Komisije 2000/532/EZ o popisu otpada u skladu s Direktivom 2008/98/EZ Europskog parlamenta i Vijeća (</w:t>
      </w:r>
      <w:hyperlink r:id="rId49" w:history="1">
        <w:r w:rsidR="005203CE" w:rsidRPr="005203CE">
          <w:rPr>
            <w:rFonts w:ascii="inherit" w:eastAsia="Times New Roman" w:hAnsi="inherit" w:cs="Times New Roman"/>
            <w:color w:val="0000FF"/>
            <w:sz w:val="19"/>
            <w:szCs w:val="19"/>
            <w:u w:val="single"/>
            <w:lang w:eastAsia="hr-HR"/>
          </w:rPr>
          <w:t>SL L 226, 6.9.2000., str. 3.</w:t>
        </w:r>
      </w:hyperlink>
      <w:r w:rsidR="005203CE" w:rsidRPr="005203CE">
        <w:rPr>
          <w:rFonts w:eastAsia="Times New Roman" w:cs="Times New Roman"/>
          <w:color w:val="000000"/>
          <w:sz w:val="19"/>
          <w:szCs w:val="19"/>
          <w:lang w:eastAsia="hr-HR"/>
        </w:rPr>
        <w:t>).</w:t>
      </w:r>
    </w:p>
    <w:p w:rsidR="005203CE" w:rsidRPr="005203CE" w:rsidRDefault="00144F85" w:rsidP="005203CE">
      <w:pPr>
        <w:spacing w:before="60" w:after="60" w:line="240" w:lineRule="auto"/>
        <w:jc w:val="both"/>
        <w:rPr>
          <w:rFonts w:eastAsia="Times New Roman" w:cs="Times New Roman"/>
          <w:color w:val="000000"/>
          <w:sz w:val="19"/>
          <w:szCs w:val="19"/>
          <w:lang w:eastAsia="hr-HR"/>
        </w:rPr>
      </w:pPr>
      <w:hyperlink r:id="rId50" w:anchor="ntc12-C_2018124HR.01000101-E0012"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12</w:t>
        </w:r>
        <w:r w:rsidR="005203CE" w:rsidRPr="005203CE">
          <w:rPr>
            <w:rFonts w:ascii="inherit" w:eastAsia="Times New Roman" w:hAnsi="inherit" w:cs="Times New Roman"/>
            <w:color w:val="0000FF"/>
            <w:sz w:val="19"/>
            <w:szCs w:val="19"/>
            <w:u w:val="single"/>
            <w:lang w:eastAsia="hr-HR"/>
          </w:rPr>
          <w:t>)</w:t>
        </w:r>
      </w:hyperlink>
      <w:r w:rsidR="005203CE" w:rsidRPr="005203CE">
        <w:rPr>
          <w:rFonts w:eastAsia="Times New Roman" w:cs="Times New Roman"/>
          <w:color w:val="000000"/>
          <w:sz w:val="19"/>
          <w:szCs w:val="19"/>
          <w:lang w:eastAsia="hr-HR"/>
        </w:rPr>
        <w:t>  Odluka Komisije 2014/955/EU оd 18. prosinca 2014. o izmjeni Odluke 2000/532/EZ o popisu otpada u skladu s Direktivom 2008/98/EZ Europskog parlamenta i Vijeća (</w:t>
      </w:r>
      <w:hyperlink r:id="rId51" w:history="1">
        <w:r w:rsidR="005203CE" w:rsidRPr="005203CE">
          <w:rPr>
            <w:rFonts w:ascii="inherit" w:eastAsia="Times New Roman" w:hAnsi="inherit" w:cs="Times New Roman"/>
            <w:color w:val="0000FF"/>
            <w:sz w:val="19"/>
            <w:szCs w:val="19"/>
            <w:u w:val="single"/>
            <w:lang w:eastAsia="hr-HR"/>
          </w:rPr>
          <w:t>SL L 370, 30.12.2014., str. 44.</w:t>
        </w:r>
      </w:hyperlink>
      <w:r w:rsidR="005203CE" w:rsidRPr="005203CE">
        <w:rPr>
          <w:rFonts w:eastAsia="Times New Roman" w:cs="Times New Roman"/>
          <w:color w:val="000000"/>
          <w:sz w:val="19"/>
          <w:szCs w:val="19"/>
          <w:lang w:eastAsia="hr-HR"/>
        </w:rPr>
        <w:t>).</w:t>
      </w:r>
    </w:p>
    <w:p w:rsidR="005203CE" w:rsidRPr="005203CE" w:rsidRDefault="00144F85" w:rsidP="005203CE">
      <w:pPr>
        <w:spacing w:before="60" w:after="60" w:line="240" w:lineRule="auto"/>
        <w:jc w:val="both"/>
        <w:rPr>
          <w:rFonts w:eastAsia="Times New Roman" w:cs="Times New Roman"/>
          <w:color w:val="000000"/>
          <w:sz w:val="19"/>
          <w:szCs w:val="19"/>
          <w:lang w:eastAsia="hr-HR"/>
        </w:rPr>
      </w:pPr>
      <w:hyperlink r:id="rId52" w:anchor="ntc13-C_2018124HR.01000101-E0013"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13</w:t>
        </w:r>
        <w:r w:rsidR="005203CE" w:rsidRPr="005203CE">
          <w:rPr>
            <w:rFonts w:ascii="inherit" w:eastAsia="Times New Roman" w:hAnsi="inherit" w:cs="Times New Roman"/>
            <w:color w:val="0000FF"/>
            <w:sz w:val="19"/>
            <w:szCs w:val="19"/>
            <w:u w:val="single"/>
            <w:lang w:eastAsia="hr-HR"/>
          </w:rPr>
          <w:t>)</w:t>
        </w:r>
      </w:hyperlink>
      <w:r w:rsidR="005203CE" w:rsidRPr="005203CE">
        <w:rPr>
          <w:rFonts w:eastAsia="Times New Roman" w:cs="Times New Roman"/>
          <w:color w:val="000000"/>
          <w:sz w:val="19"/>
          <w:szCs w:val="19"/>
          <w:lang w:eastAsia="hr-HR"/>
        </w:rPr>
        <w:t>  Uredba (EZ) br. 1013/2006 Europskog parlamenta i Vijeća od 14. lipnja 2006. o pošiljkama otpada (</w:t>
      </w:r>
      <w:hyperlink r:id="rId53" w:history="1">
        <w:r w:rsidR="005203CE" w:rsidRPr="005203CE">
          <w:rPr>
            <w:rFonts w:ascii="inherit" w:eastAsia="Times New Roman" w:hAnsi="inherit" w:cs="Times New Roman"/>
            <w:color w:val="0000FF"/>
            <w:sz w:val="19"/>
            <w:szCs w:val="19"/>
            <w:u w:val="single"/>
            <w:lang w:eastAsia="hr-HR"/>
          </w:rPr>
          <w:t>SL L 190, 12.7.2006., str. 1.</w:t>
        </w:r>
      </w:hyperlink>
      <w:r w:rsidR="005203CE" w:rsidRPr="005203CE">
        <w:rPr>
          <w:rFonts w:eastAsia="Times New Roman" w:cs="Times New Roman"/>
          <w:color w:val="000000"/>
          <w:sz w:val="19"/>
          <w:szCs w:val="19"/>
          <w:lang w:eastAsia="hr-HR"/>
        </w:rPr>
        <w:t>).</w:t>
      </w:r>
    </w:p>
    <w:p w:rsidR="005203CE" w:rsidRPr="005203CE" w:rsidRDefault="00144F85" w:rsidP="005203CE">
      <w:pPr>
        <w:spacing w:before="60" w:after="60" w:line="240" w:lineRule="auto"/>
        <w:jc w:val="both"/>
        <w:rPr>
          <w:rFonts w:eastAsia="Times New Roman" w:cs="Times New Roman"/>
          <w:color w:val="000000"/>
          <w:sz w:val="19"/>
          <w:szCs w:val="19"/>
          <w:lang w:eastAsia="hr-HR"/>
        </w:rPr>
      </w:pPr>
      <w:hyperlink r:id="rId54" w:anchor="ntc14-C_2018124HR.01000101-E0014"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14</w:t>
        </w:r>
        <w:r w:rsidR="005203CE" w:rsidRPr="005203CE">
          <w:rPr>
            <w:rFonts w:ascii="inherit" w:eastAsia="Times New Roman" w:hAnsi="inherit" w:cs="Times New Roman"/>
            <w:color w:val="0000FF"/>
            <w:sz w:val="19"/>
            <w:szCs w:val="19"/>
            <w:u w:val="single"/>
            <w:lang w:eastAsia="hr-HR"/>
          </w:rPr>
          <w:t>)</w:t>
        </w:r>
      </w:hyperlink>
      <w:r w:rsidR="005203CE" w:rsidRPr="005203CE">
        <w:rPr>
          <w:rFonts w:eastAsia="Times New Roman" w:cs="Times New Roman"/>
          <w:color w:val="000000"/>
          <w:sz w:val="19"/>
          <w:szCs w:val="19"/>
          <w:lang w:eastAsia="hr-HR"/>
        </w:rPr>
        <w:t>  Direktiva Vijeća 1999/31/EZ od 26. travnja 1999. o odlagalištima otpada (</w:t>
      </w:r>
      <w:hyperlink r:id="rId55" w:history="1">
        <w:r w:rsidR="005203CE" w:rsidRPr="005203CE">
          <w:rPr>
            <w:rFonts w:ascii="inherit" w:eastAsia="Times New Roman" w:hAnsi="inherit" w:cs="Times New Roman"/>
            <w:color w:val="0000FF"/>
            <w:sz w:val="19"/>
            <w:szCs w:val="19"/>
            <w:u w:val="single"/>
            <w:lang w:eastAsia="hr-HR"/>
          </w:rPr>
          <w:t>SL L 182, 16.7.1999., str. 1.</w:t>
        </w:r>
      </w:hyperlink>
      <w:r w:rsidR="005203CE" w:rsidRPr="005203CE">
        <w:rPr>
          <w:rFonts w:eastAsia="Times New Roman" w:cs="Times New Roman"/>
          <w:color w:val="000000"/>
          <w:sz w:val="19"/>
          <w:szCs w:val="19"/>
          <w:lang w:eastAsia="hr-HR"/>
        </w:rPr>
        <w:t>).</w:t>
      </w:r>
    </w:p>
    <w:p w:rsidR="005203CE" w:rsidRPr="005203CE" w:rsidRDefault="00144F85" w:rsidP="005203CE">
      <w:pPr>
        <w:spacing w:before="60" w:after="60" w:line="240" w:lineRule="auto"/>
        <w:jc w:val="both"/>
        <w:rPr>
          <w:rFonts w:eastAsia="Times New Roman" w:cs="Times New Roman"/>
          <w:color w:val="000000"/>
          <w:sz w:val="19"/>
          <w:szCs w:val="19"/>
          <w:lang w:eastAsia="hr-HR"/>
        </w:rPr>
      </w:pPr>
      <w:hyperlink r:id="rId56" w:anchor="ntc15-C_2018124HR.01000101-E0015"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15</w:t>
        </w:r>
        <w:r w:rsidR="005203CE" w:rsidRPr="005203CE">
          <w:rPr>
            <w:rFonts w:ascii="inherit" w:eastAsia="Times New Roman" w:hAnsi="inherit" w:cs="Times New Roman"/>
            <w:color w:val="0000FF"/>
            <w:sz w:val="19"/>
            <w:szCs w:val="19"/>
            <w:u w:val="single"/>
            <w:lang w:eastAsia="hr-HR"/>
          </w:rPr>
          <w:t>)</w:t>
        </w:r>
      </w:hyperlink>
      <w:r w:rsidR="005203CE" w:rsidRPr="005203CE">
        <w:rPr>
          <w:rFonts w:eastAsia="Times New Roman" w:cs="Times New Roman"/>
          <w:color w:val="000000"/>
          <w:sz w:val="19"/>
          <w:szCs w:val="19"/>
          <w:lang w:eastAsia="hr-HR"/>
        </w:rPr>
        <w:t>  Direktiva 2006/21/EZ Europskog parlamenta i Vijeća od 15. ožujka 2006. o gospodarenju otpadom od industrija vađenja minerala i o izmjeni Direktive 2004/35/EZ – Izjava Europskog parlamenta, Vijeća i Komisije (</w:t>
      </w:r>
      <w:hyperlink r:id="rId57" w:history="1">
        <w:r w:rsidR="005203CE" w:rsidRPr="005203CE">
          <w:rPr>
            <w:rFonts w:ascii="inherit" w:eastAsia="Times New Roman" w:hAnsi="inherit" w:cs="Times New Roman"/>
            <w:color w:val="0000FF"/>
            <w:sz w:val="19"/>
            <w:szCs w:val="19"/>
            <w:u w:val="single"/>
            <w:lang w:eastAsia="hr-HR"/>
          </w:rPr>
          <w:t>SL L 102, 11.4.2006., str. 15.</w:t>
        </w:r>
      </w:hyperlink>
      <w:r w:rsidR="005203CE" w:rsidRPr="005203CE">
        <w:rPr>
          <w:rFonts w:eastAsia="Times New Roman" w:cs="Times New Roman"/>
          <w:color w:val="000000"/>
          <w:sz w:val="19"/>
          <w:szCs w:val="19"/>
          <w:lang w:eastAsia="hr-HR"/>
        </w:rPr>
        <w:t>).</w:t>
      </w:r>
    </w:p>
    <w:p w:rsidR="005203CE" w:rsidRPr="005203CE" w:rsidRDefault="00144F85" w:rsidP="005203CE">
      <w:pPr>
        <w:spacing w:before="60" w:after="60" w:line="240" w:lineRule="auto"/>
        <w:jc w:val="both"/>
        <w:rPr>
          <w:rFonts w:eastAsia="Times New Roman" w:cs="Times New Roman"/>
          <w:color w:val="000000"/>
          <w:sz w:val="19"/>
          <w:szCs w:val="19"/>
          <w:lang w:eastAsia="hr-HR"/>
        </w:rPr>
      </w:pPr>
      <w:hyperlink r:id="rId58" w:anchor="ntc16-C_2018124HR.01000101-E0016"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16</w:t>
        </w:r>
        <w:r w:rsidR="005203CE" w:rsidRPr="005203CE">
          <w:rPr>
            <w:rFonts w:ascii="inherit" w:eastAsia="Times New Roman" w:hAnsi="inherit" w:cs="Times New Roman"/>
            <w:color w:val="0000FF"/>
            <w:sz w:val="19"/>
            <w:szCs w:val="19"/>
            <w:u w:val="single"/>
            <w:lang w:eastAsia="hr-HR"/>
          </w:rPr>
          <w:t>)</w:t>
        </w:r>
      </w:hyperlink>
      <w:r w:rsidR="005203CE" w:rsidRPr="005203CE">
        <w:rPr>
          <w:rFonts w:eastAsia="Times New Roman" w:cs="Times New Roman"/>
          <w:color w:val="000000"/>
          <w:sz w:val="19"/>
          <w:szCs w:val="19"/>
          <w:lang w:eastAsia="hr-HR"/>
        </w:rPr>
        <w:t>  Uredba (EZ) br. 1907/2006 Europskog parlamenta i Vijeća od 18. prosinca 2006. o registraciji, evaluaciji, autorizaciji i ograničavanju kemikalija (REACH) i osnivanju Europske agencije za kemikalije te o izmjeni Direktive 1999/45/EZ i stavljanju izvan snage Uredbe Vijeća (EEZ) br. 793/93 i Uredbe Komisije (EZ) br. 1488/94 kao i Direktive Vijeća 76/769/EEZ i direktiva Komisije 91/155/EEZ, 93/67/EEZ, 93/105/EZ i 2000/21/EZ (</w:t>
      </w:r>
      <w:hyperlink r:id="rId59" w:history="1">
        <w:r w:rsidR="005203CE" w:rsidRPr="005203CE">
          <w:rPr>
            <w:rFonts w:ascii="inherit" w:eastAsia="Times New Roman" w:hAnsi="inherit" w:cs="Times New Roman"/>
            <w:color w:val="0000FF"/>
            <w:sz w:val="19"/>
            <w:szCs w:val="19"/>
            <w:u w:val="single"/>
            <w:lang w:eastAsia="hr-HR"/>
          </w:rPr>
          <w:t>SL L 396, 30.12.2006., str. 1.</w:t>
        </w:r>
      </w:hyperlink>
      <w:r w:rsidR="005203CE" w:rsidRPr="005203CE">
        <w:rPr>
          <w:rFonts w:eastAsia="Times New Roman" w:cs="Times New Roman"/>
          <w:color w:val="000000"/>
          <w:sz w:val="19"/>
          <w:szCs w:val="19"/>
          <w:lang w:eastAsia="hr-HR"/>
        </w:rPr>
        <w:t>).</w:t>
      </w:r>
    </w:p>
    <w:p w:rsidR="005203CE" w:rsidRPr="005203CE" w:rsidRDefault="00144F85" w:rsidP="005203CE">
      <w:pPr>
        <w:spacing w:before="60" w:after="60" w:line="240" w:lineRule="auto"/>
        <w:jc w:val="both"/>
        <w:rPr>
          <w:rFonts w:eastAsia="Times New Roman" w:cs="Times New Roman"/>
          <w:color w:val="000000"/>
          <w:sz w:val="19"/>
          <w:szCs w:val="19"/>
          <w:lang w:eastAsia="hr-HR"/>
        </w:rPr>
      </w:pPr>
      <w:hyperlink r:id="rId60" w:anchor="ntc17-C_2018124HR.01000101-E0017"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17</w:t>
        </w:r>
        <w:r w:rsidR="005203CE" w:rsidRPr="005203CE">
          <w:rPr>
            <w:rFonts w:ascii="inherit" w:eastAsia="Times New Roman" w:hAnsi="inherit" w:cs="Times New Roman"/>
            <w:color w:val="0000FF"/>
            <w:sz w:val="19"/>
            <w:szCs w:val="19"/>
            <w:u w:val="single"/>
            <w:lang w:eastAsia="hr-HR"/>
          </w:rPr>
          <w:t>)</w:t>
        </w:r>
      </w:hyperlink>
      <w:r w:rsidR="005203CE" w:rsidRPr="005203CE">
        <w:rPr>
          <w:rFonts w:eastAsia="Times New Roman" w:cs="Times New Roman"/>
          <w:color w:val="000000"/>
          <w:sz w:val="19"/>
          <w:szCs w:val="19"/>
          <w:lang w:eastAsia="hr-HR"/>
        </w:rPr>
        <w:t>  Uredba (EZ) br. 1272/2008 Europskog parlamenta i Vijeća od 16. prosinca 2008. o razvrstavanju, označivanju i pakiranju tvari i smjesa, o izmjeni i stavljanju izvan snage Direktive 67/548/EEZ i Direktive 1999/45/EZ i o izmjeni Uredbe (EZ) br. 1907/2006. (</w:t>
      </w:r>
      <w:hyperlink r:id="rId61" w:history="1">
        <w:r w:rsidR="005203CE" w:rsidRPr="005203CE">
          <w:rPr>
            <w:rFonts w:ascii="inherit" w:eastAsia="Times New Roman" w:hAnsi="inherit" w:cs="Times New Roman"/>
            <w:color w:val="0000FF"/>
            <w:sz w:val="19"/>
            <w:szCs w:val="19"/>
            <w:u w:val="single"/>
            <w:lang w:eastAsia="hr-HR"/>
          </w:rPr>
          <w:t>SL L 353, 31.12.2008., str. 1.</w:t>
        </w:r>
      </w:hyperlink>
      <w:r w:rsidR="005203CE" w:rsidRPr="005203CE">
        <w:rPr>
          <w:rFonts w:eastAsia="Times New Roman" w:cs="Times New Roman"/>
          <w:color w:val="000000"/>
          <w:sz w:val="19"/>
          <w:szCs w:val="19"/>
          <w:lang w:eastAsia="hr-HR"/>
        </w:rPr>
        <w:t>).</w:t>
      </w:r>
    </w:p>
    <w:p w:rsidR="005203CE" w:rsidRPr="005203CE" w:rsidRDefault="00144F85" w:rsidP="005203CE">
      <w:pPr>
        <w:spacing w:before="60" w:after="60" w:line="240" w:lineRule="auto"/>
        <w:jc w:val="both"/>
        <w:rPr>
          <w:rFonts w:eastAsia="Times New Roman" w:cs="Times New Roman"/>
          <w:color w:val="000000"/>
          <w:sz w:val="19"/>
          <w:szCs w:val="19"/>
          <w:lang w:eastAsia="hr-HR"/>
        </w:rPr>
      </w:pPr>
      <w:hyperlink r:id="rId62" w:anchor="ntc18-C_2018124HR.01000101-E0018"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18</w:t>
        </w:r>
        <w:r w:rsidR="005203CE" w:rsidRPr="005203CE">
          <w:rPr>
            <w:rFonts w:ascii="inherit" w:eastAsia="Times New Roman" w:hAnsi="inherit" w:cs="Times New Roman"/>
            <w:color w:val="0000FF"/>
            <w:sz w:val="19"/>
            <w:szCs w:val="19"/>
            <w:u w:val="single"/>
            <w:lang w:eastAsia="hr-HR"/>
          </w:rPr>
          <w:t>)</w:t>
        </w:r>
      </w:hyperlink>
      <w:r w:rsidR="005203CE" w:rsidRPr="005203CE">
        <w:rPr>
          <w:rFonts w:eastAsia="Times New Roman" w:cs="Times New Roman"/>
          <w:color w:val="000000"/>
          <w:sz w:val="19"/>
          <w:szCs w:val="19"/>
          <w:lang w:eastAsia="hr-HR"/>
        </w:rPr>
        <w:t>  Uredba (EZ) br. 850/2004 Europskog parlamenta i Vijeća od 29. travnja 2004. o postojanim organskim onečišćujućim tvarima i izmjeni Direktive 79/117/EEZ (</w:t>
      </w:r>
      <w:hyperlink r:id="rId63" w:history="1">
        <w:r w:rsidR="005203CE" w:rsidRPr="005203CE">
          <w:rPr>
            <w:rFonts w:ascii="inherit" w:eastAsia="Times New Roman" w:hAnsi="inherit" w:cs="Times New Roman"/>
            <w:color w:val="0000FF"/>
            <w:sz w:val="19"/>
            <w:szCs w:val="19"/>
            <w:u w:val="single"/>
            <w:lang w:eastAsia="hr-HR"/>
          </w:rPr>
          <w:t>SL L 158, 30.4.2004., str. 7.</w:t>
        </w:r>
      </w:hyperlink>
      <w:r w:rsidR="005203CE" w:rsidRPr="005203CE">
        <w:rPr>
          <w:rFonts w:eastAsia="Times New Roman" w:cs="Times New Roman"/>
          <w:color w:val="000000"/>
          <w:sz w:val="19"/>
          <w:szCs w:val="19"/>
          <w:lang w:eastAsia="hr-HR"/>
        </w:rPr>
        <w:t>).</w:t>
      </w:r>
    </w:p>
    <w:p w:rsidR="005203CE" w:rsidRPr="005203CE" w:rsidRDefault="00144F85" w:rsidP="005203CE">
      <w:pPr>
        <w:spacing w:before="60" w:after="60" w:line="240" w:lineRule="auto"/>
        <w:jc w:val="both"/>
        <w:rPr>
          <w:rFonts w:eastAsia="Times New Roman" w:cs="Times New Roman"/>
          <w:color w:val="000000"/>
          <w:sz w:val="19"/>
          <w:szCs w:val="19"/>
          <w:lang w:eastAsia="hr-HR"/>
        </w:rPr>
      </w:pPr>
      <w:hyperlink r:id="rId64" w:anchor="ntc19-C_2018124HR.01000101-E0019"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19</w:t>
        </w:r>
        <w:r w:rsidR="005203CE" w:rsidRPr="005203CE">
          <w:rPr>
            <w:rFonts w:ascii="inherit" w:eastAsia="Times New Roman" w:hAnsi="inherit" w:cs="Times New Roman"/>
            <w:color w:val="0000FF"/>
            <w:sz w:val="19"/>
            <w:szCs w:val="19"/>
            <w:u w:val="single"/>
            <w:lang w:eastAsia="hr-HR"/>
          </w:rPr>
          <w:t>)</w:t>
        </w:r>
      </w:hyperlink>
      <w:r w:rsidR="005203CE" w:rsidRPr="005203CE">
        <w:rPr>
          <w:rFonts w:eastAsia="Times New Roman" w:cs="Times New Roman"/>
          <w:color w:val="000000"/>
          <w:sz w:val="19"/>
          <w:szCs w:val="19"/>
          <w:lang w:eastAsia="hr-HR"/>
        </w:rPr>
        <w:t>  Valja spomenuti da neke države članice EU-a primjenjuju strože granične vrijednosti za određene postojane organske onečišćujuće tvari.</w:t>
      </w:r>
    </w:p>
    <w:p w:rsidR="005203CE" w:rsidRPr="005203CE" w:rsidRDefault="00144F85" w:rsidP="005203CE">
      <w:pPr>
        <w:spacing w:before="60" w:after="60" w:line="240" w:lineRule="auto"/>
        <w:jc w:val="both"/>
        <w:rPr>
          <w:rFonts w:eastAsia="Times New Roman" w:cs="Times New Roman"/>
          <w:color w:val="000000"/>
          <w:sz w:val="19"/>
          <w:szCs w:val="19"/>
          <w:lang w:eastAsia="hr-HR"/>
        </w:rPr>
      </w:pPr>
      <w:hyperlink r:id="rId65" w:anchor="ntc20-C_2018124HR.01000101-E0020"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20</w:t>
        </w:r>
        <w:r w:rsidR="005203CE" w:rsidRPr="005203CE">
          <w:rPr>
            <w:rFonts w:ascii="inherit" w:eastAsia="Times New Roman" w:hAnsi="inherit" w:cs="Times New Roman"/>
            <w:color w:val="0000FF"/>
            <w:sz w:val="19"/>
            <w:szCs w:val="19"/>
            <w:u w:val="single"/>
            <w:lang w:eastAsia="hr-HR"/>
          </w:rPr>
          <w:t>)</w:t>
        </w:r>
      </w:hyperlink>
      <w:r w:rsidR="005203CE" w:rsidRPr="005203CE">
        <w:rPr>
          <w:rFonts w:eastAsia="Times New Roman" w:cs="Times New Roman"/>
          <w:color w:val="000000"/>
          <w:sz w:val="19"/>
          <w:szCs w:val="19"/>
          <w:lang w:eastAsia="hr-HR"/>
        </w:rPr>
        <w:t>  Postojane organske onečišćujuće tvari navedene u Popisu otpada su tzv. „stare postojane organske onečišćujuće tvari”. Stoga se kao opasan mora razvrstavati samo onaj otpad koji sadržava „stare postojane organske onečišćujuće tvari” u koncentracijama većima od donje granične vrijednosti sadržaja postojanih organskih onečišćujućih tvari.</w:t>
      </w:r>
    </w:p>
    <w:p w:rsidR="005203CE" w:rsidRPr="005203CE" w:rsidRDefault="00144F85" w:rsidP="005203CE">
      <w:pPr>
        <w:spacing w:before="60" w:after="60" w:line="240" w:lineRule="auto"/>
        <w:jc w:val="both"/>
        <w:rPr>
          <w:rFonts w:eastAsia="Times New Roman" w:cs="Times New Roman"/>
          <w:color w:val="000000"/>
          <w:sz w:val="19"/>
          <w:szCs w:val="19"/>
          <w:lang w:eastAsia="hr-HR"/>
        </w:rPr>
      </w:pPr>
      <w:hyperlink r:id="rId66" w:anchor="ntc21-C_2018124HR.01000101-E0021"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21</w:t>
        </w:r>
        <w:r w:rsidR="005203CE" w:rsidRPr="005203CE">
          <w:rPr>
            <w:rFonts w:ascii="inherit" w:eastAsia="Times New Roman" w:hAnsi="inherit" w:cs="Times New Roman"/>
            <w:color w:val="0000FF"/>
            <w:sz w:val="19"/>
            <w:szCs w:val="19"/>
            <w:u w:val="single"/>
            <w:lang w:eastAsia="hr-HR"/>
          </w:rPr>
          <w:t>)</w:t>
        </w:r>
      </w:hyperlink>
      <w:r w:rsidR="005203CE" w:rsidRPr="005203CE">
        <w:rPr>
          <w:rFonts w:eastAsia="Times New Roman" w:cs="Times New Roman"/>
          <w:color w:val="000000"/>
          <w:sz w:val="19"/>
          <w:szCs w:val="19"/>
          <w:lang w:eastAsia="hr-HR"/>
        </w:rPr>
        <w:t>  Direktiva 2012/18/EU Europskog parlamenta i Vijeća od 4. srpnja 2012. o kontroli opasnosti od velikih nesreća koje uključuju opasne tvari, o izmjeni i kasnijem stavljanju izvan snage Direktive Vijeća 96/82/EZ (</w:t>
      </w:r>
      <w:hyperlink r:id="rId67" w:history="1">
        <w:r w:rsidR="005203CE" w:rsidRPr="005203CE">
          <w:rPr>
            <w:rFonts w:ascii="inherit" w:eastAsia="Times New Roman" w:hAnsi="inherit" w:cs="Times New Roman"/>
            <w:color w:val="0000FF"/>
            <w:sz w:val="19"/>
            <w:szCs w:val="19"/>
            <w:u w:val="single"/>
            <w:lang w:eastAsia="hr-HR"/>
          </w:rPr>
          <w:t>SL L 197, 24.7.2012., str. 1.</w:t>
        </w:r>
      </w:hyperlink>
      <w:r w:rsidR="005203CE" w:rsidRPr="005203CE">
        <w:rPr>
          <w:rFonts w:eastAsia="Times New Roman" w:cs="Times New Roman"/>
          <w:color w:val="000000"/>
          <w:sz w:val="19"/>
          <w:szCs w:val="19"/>
          <w:lang w:eastAsia="hr-HR"/>
        </w:rPr>
        <w:t>).</w:t>
      </w:r>
    </w:p>
    <w:p w:rsidR="005203CE" w:rsidRPr="005203CE" w:rsidRDefault="00144F85" w:rsidP="005203CE">
      <w:pPr>
        <w:spacing w:before="60" w:after="60" w:line="240" w:lineRule="auto"/>
        <w:jc w:val="both"/>
        <w:rPr>
          <w:rFonts w:eastAsia="Times New Roman" w:cs="Times New Roman"/>
          <w:color w:val="000000"/>
          <w:sz w:val="19"/>
          <w:szCs w:val="19"/>
          <w:lang w:eastAsia="hr-HR"/>
        </w:rPr>
      </w:pPr>
      <w:hyperlink r:id="rId68" w:anchor="ntc22-C_2018124HR.01000101-E0022"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22</w:t>
        </w:r>
        <w:r w:rsidR="005203CE" w:rsidRPr="005203CE">
          <w:rPr>
            <w:rFonts w:ascii="inherit" w:eastAsia="Times New Roman" w:hAnsi="inherit" w:cs="Times New Roman"/>
            <w:color w:val="0000FF"/>
            <w:sz w:val="19"/>
            <w:szCs w:val="19"/>
            <w:u w:val="single"/>
            <w:lang w:eastAsia="hr-HR"/>
          </w:rPr>
          <w:t>)</w:t>
        </w:r>
      </w:hyperlink>
      <w:r w:rsidR="005203CE" w:rsidRPr="005203CE">
        <w:rPr>
          <w:rFonts w:eastAsia="Times New Roman" w:cs="Times New Roman"/>
          <w:color w:val="000000"/>
          <w:sz w:val="19"/>
          <w:szCs w:val="19"/>
          <w:lang w:eastAsia="hr-HR"/>
        </w:rPr>
        <w:t>  Direktiva 2012/19/EU Europskog parlamenta i Vijeća od 4. srpnja 2012. o otpadnoj električnoj i elektroničkoj opremi (OEEO) (</w:t>
      </w:r>
      <w:hyperlink r:id="rId69" w:history="1">
        <w:r w:rsidR="005203CE" w:rsidRPr="005203CE">
          <w:rPr>
            <w:rFonts w:ascii="inherit" w:eastAsia="Times New Roman" w:hAnsi="inherit" w:cs="Times New Roman"/>
            <w:color w:val="0000FF"/>
            <w:sz w:val="19"/>
            <w:szCs w:val="19"/>
            <w:u w:val="single"/>
            <w:lang w:eastAsia="hr-HR"/>
          </w:rPr>
          <w:t>SL L 197, 24.7.2012., str. 38.</w:t>
        </w:r>
      </w:hyperlink>
      <w:r w:rsidR="005203CE" w:rsidRPr="005203CE">
        <w:rPr>
          <w:rFonts w:eastAsia="Times New Roman" w:cs="Times New Roman"/>
          <w:color w:val="000000"/>
          <w:sz w:val="19"/>
          <w:szCs w:val="19"/>
          <w:lang w:eastAsia="hr-HR"/>
        </w:rPr>
        <w:t>).</w:t>
      </w:r>
    </w:p>
    <w:p w:rsidR="005203CE" w:rsidRPr="005203CE" w:rsidRDefault="00144F85" w:rsidP="005203CE">
      <w:pPr>
        <w:spacing w:before="60" w:after="60" w:line="240" w:lineRule="auto"/>
        <w:jc w:val="both"/>
        <w:rPr>
          <w:rFonts w:eastAsia="Times New Roman" w:cs="Times New Roman"/>
          <w:color w:val="000000"/>
          <w:sz w:val="19"/>
          <w:szCs w:val="19"/>
          <w:lang w:eastAsia="hr-HR"/>
        </w:rPr>
      </w:pPr>
      <w:hyperlink r:id="rId70" w:anchor="ntc23-C_2018124HR.01000101-E0023"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23</w:t>
        </w:r>
        <w:r w:rsidR="005203CE" w:rsidRPr="005203CE">
          <w:rPr>
            <w:rFonts w:ascii="inherit" w:eastAsia="Times New Roman" w:hAnsi="inherit" w:cs="Times New Roman"/>
            <w:color w:val="0000FF"/>
            <w:sz w:val="19"/>
            <w:szCs w:val="19"/>
            <w:u w:val="single"/>
            <w:lang w:eastAsia="hr-HR"/>
          </w:rPr>
          <w:t>)</w:t>
        </w:r>
      </w:hyperlink>
      <w:r w:rsidR="005203CE" w:rsidRPr="005203CE">
        <w:rPr>
          <w:rFonts w:eastAsia="Times New Roman" w:cs="Times New Roman"/>
          <w:color w:val="000000"/>
          <w:sz w:val="19"/>
          <w:szCs w:val="19"/>
          <w:lang w:eastAsia="hr-HR"/>
        </w:rPr>
        <w:t>  Direktiva 2006/66/EZ Europskog parlamenta i Vijeća od 6. rujna 2006. o baterijama i akumulatorima te otpadnim baterijama i akumulatorima i stavljanju izvan snage Direktive 91/157/EEZ (</w:t>
      </w:r>
      <w:hyperlink r:id="rId71" w:history="1">
        <w:r w:rsidR="005203CE" w:rsidRPr="005203CE">
          <w:rPr>
            <w:rFonts w:ascii="inherit" w:eastAsia="Times New Roman" w:hAnsi="inherit" w:cs="Times New Roman"/>
            <w:color w:val="0000FF"/>
            <w:sz w:val="19"/>
            <w:szCs w:val="19"/>
            <w:u w:val="single"/>
            <w:lang w:eastAsia="hr-HR"/>
          </w:rPr>
          <w:t>SL L 266, 26.9.2006., str. 1.</w:t>
        </w:r>
      </w:hyperlink>
      <w:r w:rsidR="005203CE" w:rsidRPr="005203CE">
        <w:rPr>
          <w:rFonts w:eastAsia="Times New Roman" w:cs="Times New Roman"/>
          <w:color w:val="000000"/>
          <w:sz w:val="19"/>
          <w:szCs w:val="19"/>
          <w:lang w:eastAsia="hr-HR"/>
        </w:rPr>
        <w:t>).</w:t>
      </w:r>
    </w:p>
    <w:p w:rsidR="005203CE" w:rsidRPr="005203CE" w:rsidRDefault="00144F85" w:rsidP="005203CE">
      <w:pPr>
        <w:spacing w:before="120" w:after="120" w:line="240" w:lineRule="auto"/>
        <w:rPr>
          <w:rFonts w:eastAsia="Times New Roman" w:cs="Times New Roman"/>
          <w:szCs w:val="24"/>
          <w:lang w:eastAsia="hr-HR"/>
        </w:rPr>
      </w:pPr>
      <w:r>
        <w:rPr>
          <w:rFonts w:eastAsia="Times New Roman" w:cs="Times New Roman"/>
          <w:szCs w:val="24"/>
          <w:lang w:eastAsia="hr-HR"/>
        </w:rPr>
        <w:pict>
          <v:rect id="_x0000_i1026" style="width:138.8pt;height:.75pt" o:hrpct="0" o:hralign="center" o:hrstd="t" o:hrnoshade="t" o:hr="t" fillcolor="black" stroked="f"/>
        </w:pict>
      </w:r>
    </w:p>
    <w:p w:rsidR="005203CE" w:rsidRPr="005203CE" w:rsidRDefault="005203CE" w:rsidP="005203CE">
      <w:pPr>
        <w:spacing w:before="240" w:after="120" w:line="240" w:lineRule="auto"/>
        <w:jc w:val="center"/>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PRILOZI</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Obavijesti Komisije o tehničkim smjernicama za razvrstavanje otpada</w:t>
      </w:r>
    </w:p>
    <w:p w:rsidR="005203CE" w:rsidRPr="005203CE" w:rsidRDefault="005203CE" w:rsidP="005203CE">
      <w:pPr>
        <w:spacing w:before="120" w:after="120" w:line="240" w:lineRule="auto"/>
        <w:jc w:val="center"/>
        <w:rPr>
          <w:rFonts w:ascii="inherit" w:eastAsia="Times New Roman" w:hAnsi="inherit" w:cs="Times New Roman"/>
          <w:color w:val="000000"/>
          <w:szCs w:val="24"/>
          <w:lang w:eastAsia="hr-HR"/>
        </w:rPr>
      </w:pPr>
      <w:r w:rsidRPr="005203CE">
        <w:rPr>
          <w:rFonts w:ascii="inherit" w:eastAsia="Times New Roman" w:hAnsi="inherit" w:cs="Times New Roman"/>
          <w:b/>
          <w:bCs/>
          <w:color w:val="000000"/>
          <w:szCs w:val="24"/>
          <w:lang w:eastAsia="hr-HR"/>
        </w:rPr>
        <w:t>SADRŽAJ</w:t>
      </w:r>
    </w:p>
    <w:tbl>
      <w:tblPr>
        <w:tblW w:w="5000" w:type="pct"/>
        <w:tblCellSpacing w:w="0" w:type="dxa"/>
        <w:tblCellMar>
          <w:left w:w="0" w:type="dxa"/>
          <w:right w:w="0" w:type="dxa"/>
        </w:tblCellMar>
        <w:tblLook w:val="04A0" w:firstRow="1" w:lastRow="0" w:firstColumn="1" w:lastColumn="0" w:noHBand="0" w:noVBand="1"/>
      </w:tblPr>
      <w:tblGrid>
        <w:gridCol w:w="8552"/>
        <w:gridCol w:w="520"/>
      </w:tblGrid>
      <w:tr w:rsidR="005203CE" w:rsidRPr="005203CE" w:rsidTr="005203CE">
        <w:trPr>
          <w:tblCellSpacing w:w="0" w:type="dxa"/>
        </w:trPr>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PRILOG 1.: Popis otpada s komentarima</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21</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557"/>
        <w:gridCol w:w="6803"/>
        <w:gridCol w:w="712"/>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1.1.</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Struktura Popisa otpada</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21</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312"/>
        <w:gridCol w:w="7161"/>
        <w:gridCol w:w="599"/>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1.2.</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Utvrđivanje prikladnog unosa</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24</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718"/>
        <w:gridCol w:w="6756"/>
        <w:gridCol w:w="598"/>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1.2.1.</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Popis otpada s komentarima</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27</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090"/>
        <w:gridCol w:w="7484"/>
        <w:gridCol w:w="498"/>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1.3.</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Primjeri razvrstavanja složenih unosa</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62</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818"/>
        <w:gridCol w:w="6622"/>
        <w:gridCol w:w="632"/>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1.3.1.</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Ambalažni otpad i sadržaj</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62</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073"/>
        <w:gridCol w:w="7626"/>
        <w:gridCol w:w="373"/>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1.3.2.</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Otpad od električne i elektroničke opreme (OEEO)</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64</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983"/>
        <w:gridCol w:w="6399"/>
        <w:gridCol w:w="690"/>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1.3.3.</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Dotrajala vozila (ELV)</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66</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728"/>
        <w:gridCol w:w="8012"/>
        <w:gridCol w:w="332"/>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1.4.</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Primjeri procjene posebnih sastojaka određenih vrsta otpada</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67</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212"/>
        <w:gridCol w:w="7438"/>
        <w:gridCol w:w="422"/>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1.4.1.</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Organski sastojci i posebni kemijski spojevi</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67</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566"/>
        <w:gridCol w:w="6961"/>
        <w:gridCol w:w="545"/>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1.4.2.</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Tvari koje oštećuju ozonski sloj</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69</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3920"/>
        <w:gridCol w:w="3789"/>
        <w:gridCol w:w="1363"/>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1.4.3.</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Azbest</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71</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413"/>
        <w:gridCol w:w="7168"/>
        <w:gridCol w:w="491"/>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1.4.4.</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Otpad koji sadržava CaO i CA(OH)</w:t>
            </w:r>
            <w:r w:rsidRPr="005203CE">
              <w:rPr>
                <w:rFonts w:ascii="inherit" w:eastAsia="Times New Roman" w:hAnsi="inherit" w:cs="Times New Roman"/>
                <w:sz w:val="17"/>
                <w:szCs w:val="17"/>
                <w:vertAlign w:val="subscript"/>
                <w:lang w:eastAsia="hr-HR"/>
              </w:rPr>
              <w:t>2</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72</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202"/>
        <w:gridCol w:w="7452"/>
        <w:gridCol w:w="418"/>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1.4.5.</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Otpad koji sadržava ugljeni katran i bitumen</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74</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672"/>
        <w:gridCol w:w="5471"/>
        <w:gridCol w:w="929"/>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lastRenderedPageBreak/>
              <w:t>1.4.6.</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Metali i legure</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75</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264"/>
        <w:gridCol w:w="6020"/>
        <w:gridCol w:w="788"/>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1.4.7.</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Organski peroksidi</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76</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725"/>
        <w:gridCol w:w="5399"/>
        <w:gridCol w:w="948"/>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1.4.8.</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Gumeni otpad</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77</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663"/>
        <w:gridCol w:w="5482"/>
        <w:gridCol w:w="927"/>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1.4.9.</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Plastični otpad</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78</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941"/>
        <w:gridCol w:w="7849"/>
        <w:gridCol w:w="282"/>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1.4.10.</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Otpad koji sadržava postojane organske onečišćujuće tvari (POP-ovi)</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80</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8754"/>
        <w:gridCol w:w="318"/>
      </w:tblGrid>
      <w:tr w:rsidR="005203CE" w:rsidRPr="005203CE" w:rsidTr="005203CE">
        <w:trPr>
          <w:tblCellSpacing w:w="0" w:type="dxa"/>
        </w:trPr>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PRILOG 2.: Izvori podataka i osnova informacija o opasnim tvarima</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83</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680"/>
        <w:gridCol w:w="8045"/>
        <w:gridCol w:w="347"/>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2.1</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Razvrstavanje tvari kao opasnih u skladu s Uredbom CLP</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83</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540"/>
        <w:gridCol w:w="6950"/>
        <w:gridCol w:w="582"/>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2.1.1</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Usklađeno razvrstavanje tvari</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83</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133"/>
        <w:gridCol w:w="6133"/>
        <w:gridCol w:w="806"/>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2.1.2</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Samorazvrstavanje</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84</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928"/>
        <w:gridCol w:w="7793"/>
        <w:gridCol w:w="351"/>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2.1.3</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Popis razvrstavanja i označivanja kao alat pretraživanja</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84</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470"/>
        <w:gridCol w:w="8362"/>
        <w:gridCol w:w="240"/>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2.2</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Informacije o sastavu, svojstvima i gospodarenju otpadom od tvari/smjesa koje postaju otpad</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85</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396"/>
        <w:gridCol w:w="6964"/>
        <w:gridCol w:w="712"/>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2.3</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Drugi izvori informacija</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86</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8799"/>
        <w:gridCol w:w="273"/>
      </w:tblGrid>
      <w:tr w:rsidR="005203CE" w:rsidRPr="005203CE" w:rsidTr="005203CE">
        <w:trPr>
          <w:tblCellSpacing w:w="0" w:type="dxa"/>
        </w:trPr>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PRILOG 3.: Posebni pristupi određivanju opasnih svojstava (od HP 1 do HP 15)</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87</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043"/>
        <w:gridCol w:w="7552"/>
        <w:gridCol w:w="477"/>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3.1.</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Određivanje oznake HP 1: Eksplozivno</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87</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038"/>
        <w:gridCol w:w="7560"/>
        <w:gridCol w:w="474"/>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3.2.</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Određivanje oznake HP 2: Oksidirajuće</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88</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112"/>
        <w:gridCol w:w="7452"/>
        <w:gridCol w:w="508"/>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3.3.</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Određivanje oznake HP 3: Zapaljivo</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91</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637"/>
        <w:gridCol w:w="8143"/>
        <w:gridCol w:w="292"/>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3.4.</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Određivanje oznake HP 4: Nadražujuće – kožne iritacije i ozljede oka</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96</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525"/>
        <w:gridCol w:w="8307"/>
        <w:gridCol w:w="240"/>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3.5.</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Određivanje oznake HP 5: Specifična toksičnost za ciljni organ/aspiracijska toksičnost</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99</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912"/>
        <w:gridCol w:w="7535"/>
        <w:gridCol w:w="625"/>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3.6.</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Određivanje oznake HP 6: Akutna toksičnost</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102</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009"/>
        <w:gridCol w:w="7372"/>
        <w:gridCol w:w="691"/>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3.7.</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Određivanje oznake HP 7: Karcinogeno</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105</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026"/>
        <w:gridCol w:w="7343"/>
        <w:gridCol w:w="703"/>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3.8.</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Određivanje oznake HP 8: Nagrizajuće</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106</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115"/>
        <w:gridCol w:w="7192"/>
        <w:gridCol w:w="765"/>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lastRenderedPageBreak/>
              <w:t>3.9.</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Određivanje oznake HP 9: Zarazno</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108</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934"/>
        <w:gridCol w:w="7608"/>
        <w:gridCol w:w="530"/>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3.10.</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Određivanje oznake HP 10: Toksično za reprodukciju</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111</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228"/>
        <w:gridCol w:w="7147"/>
        <w:gridCol w:w="697"/>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3.11.</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Određivanje oznake HP 11: Mutageno</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113</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784"/>
        <w:gridCol w:w="7843"/>
        <w:gridCol w:w="445"/>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3.12.</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Određivanje oznake HP 12: Oslobađanje akutno toksičnih plinova</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114</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082"/>
        <w:gridCol w:w="7377"/>
        <w:gridCol w:w="613"/>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3.13.</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Određivanje oznake HP 13: Senzibilizirajuće</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118</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173"/>
        <w:gridCol w:w="7235"/>
        <w:gridCol w:w="664"/>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3.14.</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Određivanje oznake HP 14: Ekotoksično</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119</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635"/>
        <w:gridCol w:w="8077"/>
        <w:gridCol w:w="360"/>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3.15.</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Određivanje oznake HP 15: Otpad koji može imati prethodno navedena opasna svojstva koja izvorni otpad nije izravno pokazivao</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122</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8459"/>
        <w:gridCol w:w="613"/>
      </w:tblGrid>
      <w:tr w:rsidR="005203CE" w:rsidRPr="005203CE" w:rsidTr="005203CE">
        <w:trPr>
          <w:tblCellSpacing w:w="0" w:type="dxa"/>
        </w:trPr>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PRILOG 4.: Uzorkovanje i kemijska analiza otpada</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124</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241"/>
        <w:gridCol w:w="5294"/>
        <w:gridCol w:w="1537"/>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4.1.</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Uzorkovanje</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124</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000"/>
        <w:gridCol w:w="6029"/>
        <w:gridCol w:w="1043"/>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4.1.1.</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Okvir za uzorkovanje</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124</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743"/>
        <w:gridCol w:w="6419"/>
        <w:gridCol w:w="910"/>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4.1.2.</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Metodologija uzorkovanja</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126</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182"/>
        <w:gridCol w:w="7273"/>
        <w:gridCol w:w="617"/>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4.1.3.</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Norme uzorkovanja za različite vrste otpada</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128</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758"/>
        <w:gridCol w:w="7919"/>
        <w:gridCol w:w="395"/>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4.1.4.</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Strategije uzorkovanja za postupanje u pogledu homogenosti/heterogenosti</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128</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572"/>
        <w:gridCol w:w="6680"/>
        <w:gridCol w:w="820"/>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4.1.5.</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Statistički pristup uzorkovanja</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128</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468"/>
        <w:gridCol w:w="6597"/>
        <w:gridCol w:w="1007"/>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4.2.</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Kemijska analiza otpada</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129</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402"/>
        <w:gridCol w:w="6938"/>
        <w:gridCol w:w="732"/>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4.2.1.</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Tvari u najgorem mogućem slučaju</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131</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29"/>
        <w:gridCol w:w="5376"/>
        <w:gridCol w:w="1267"/>
      </w:tblGrid>
      <w:tr w:rsidR="005203CE" w:rsidRPr="005203CE" w:rsidTr="005203CE">
        <w:trPr>
          <w:tblCellSpacing w:w="0" w:type="dxa"/>
        </w:trPr>
        <w:tc>
          <w:tcPr>
            <w:tcW w:w="0" w:type="auto"/>
            <w:hideMark/>
          </w:tcPr>
          <w:p w:rsidR="005203CE" w:rsidRPr="005203CE" w:rsidRDefault="005203CE" w:rsidP="005203CE">
            <w:pPr>
              <w:spacing w:before="60" w:after="60" w:line="240" w:lineRule="auto"/>
              <w:ind w:right="195"/>
              <w:jc w:val="right"/>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4.2.2.</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Generički unosi</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132</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8490"/>
        <w:gridCol w:w="582"/>
      </w:tblGrid>
      <w:tr w:rsidR="005203CE" w:rsidRPr="005203CE" w:rsidTr="005203CE">
        <w:trPr>
          <w:tblCellSpacing w:w="0" w:type="dxa"/>
        </w:trPr>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PRILOG 5.: Izvori i upućivanja na vanjske dokumente</w:t>
            </w:r>
          </w:p>
        </w:tc>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szCs w:val="24"/>
                <w:lang w:eastAsia="hr-HR"/>
              </w:rPr>
              <w:t>134</w:t>
            </w:r>
          </w:p>
        </w:tc>
      </w:tr>
    </w:tbl>
    <w:p w:rsidR="005203CE" w:rsidRPr="005203CE" w:rsidRDefault="00144F85" w:rsidP="005203CE">
      <w:pPr>
        <w:spacing w:before="120" w:after="120" w:line="240" w:lineRule="auto"/>
        <w:rPr>
          <w:rFonts w:eastAsia="Times New Roman" w:cs="Times New Roman"/>
          <w:szCs w:val="24"/>
          <w:lang w:eastAsia="hr-HR"/>
        </w:rPr>
      </w:pPr>
      <w:r>
        <w:rPr>
          <w:rFonts w:eastAsia="Times New Roman" w:cs="Times New Roman"/>
          <w:szCs w:val="24"/>
          <w:lang w:eastAsia="hr-HR"/>
        </w:rPr>
        <w:pict>
          <v:rect id="_x0000_i1027" style="width:138.8pt;height:.75pt" o:hrpct="0" o:hralign="center" o:hrstd="t" o:hrnoshade="t" o:hr="t" fillcolor="black" stroked="f"/>
        </w:pict>
      </w:r>
    </w:p>
    <w:p w:rsidR="005203CE" w:rsidRPr="005203CE" w:rsidRDefault="005203CE" w:rsidP="005203CE">
      <w:pPr>
        <w:spacing w:before="240" w:after="120" w:line="240" w:lineRule="auto"/>
        <w:jc w:val="center"/>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PRILOG 1.</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Popis otpada s komentarima</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1.1.    </w:t>
      </w:r>
      <w:r w:rsidRPr="005203CE">
        <w:rPr>
          <w:rFonts w:ascii="inherit" w:eastAsia="Times New Roman" w:hAnsi="inherit" w:cs="Times New Roman"/>
          <w:b/>
          <w:bCs/>
          <w:i/>
          <w:iCs/>
          <w:color w:val="000000"/>
          <w:szCs w:val="24"/>
          <w:lang w:eastAsia="hr-HR"/>
        </w:rPr>
        <w:t>Struktura Popisa otpada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lastRenderedPageBreak/>
        <w:t>Verzija Popisa otpada utvrđena Odlukom 2000/532/EZ i izmijenjena Odlukom 2014/955/EU primjenjuje se od 1. lipnja 2015.</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Popis otpada sastoji se od 20 </w:t>
      </w:r>
      <w:r w:rsidRPr="005203CE">
        <w:rPr>
          <w:rFonts w:ascii="inherit" w:eastAsia="Times New Roman" w:hAnsi="inherit" w:cs="Times New Roman"/>
          <w:i/>
          <w:iCs/>
          <w:color w:val="000000"/>
          <w:szCs w:val="24"/>
          <w:lang w:eastAsia="hr-HR"/>
        </w:rPr>
        <w:t>poglavlja</w:t>
      </w:r>
      <w:r w:rsidRPr="005203CE">
        <w:rPr>
          <w:rFonts w:ascii="inherit" w:eastAsia="Times New Roman" w:hAnsi="inherit" w:cs="Times New Roman"/>
          <w:color w:val="000000"/>
          <w:szCs w:val="24"/>
          <w:lang w:eastAsia="hr-HR"/>
        </w:rPr>
        <w:t> (dvoznamenkaste oznake, vidjeti tablicu 1. u nastavku). Poglavlja su dodatno podijeljena na </w:t>
      </w:r>
      <w:r w:rsidRPr="005203CE">
        <w:rPr>
          <w:rFonts w:ascii="inherit" w:eastAsia="Times New Roman" w:hAnsi="inherit" w:cs="Times New Roman"/>
          <w:i/>
          <w:iCs/>
          <w:color w:val="000000"/>
          <w:szCs w:val="24"/>
          <w:lang w:eastAsia="hr-HR"/>
        </w:rPr>
        <w:t>potpoglavlja</w:t>
      </w:r>
      <w:r w:rsidRPr="005203CE">
        <w:rPr>
          <w:rFonts w:ascii="inherit" w:eastAsia="Times New Roman" w:hAnsi="inherit" w:cs="Times New Roman"/>
          <w:color w:val="000000"/>
          <w:szCs w:val="24"/>
          <w:lang w:eastAsia="hr-HR"/>
        </w:rPr>
        <w:t> (četveroznamenkaste oznake) i </w:t>
      </w:r>
      <w:r w:rsidRPr="005203CE">
        <w:rPr>
          <w:rFonts w:ascii="inherit" w:eastAsia="Times New Roman" w:hAnsi="inherit" w:cs="Times New Roman"/>
          <w:i/>
          <w:iCs/>
          <w:color w:val="000000"/>
          <w:szCs w:val="24"/>
          <w:lang w:eastAsia="hr-HR"/>
        </w:rPr>
        <w:t>unose</w:t>
      </w:r>
      <w:r w:rsidRPr="005203CE">
        <w:rPr>
          <w:rFonts w:ascii="inherit" w:eastAsia="Times New Roman" w:hAnsi="inherit" w:cs="Times New Roman"/>
          <w:color w:val="000000"/>
          <w:szCs w:val="24"/>
          <w:lang w:eastAsia="hr-HR"/>
        </w:rPr>
        <w:t> (šesteroznamenkaste oznake). Primjeri poglavlja, potpoglavlja i unosa navedeni su u nastavku.</w:t>
      </w:r>
    </w:p>
    <w:tbl>
      <w:tblPr>
        <w:tblW w:w="5000" w:type="pct"/>
        <w:tblCellSpacing w:w="0" w:type="dxa"/>
        <w:tblCellMar>
          <w:left w:w="0" w:type="dxa"/>
          <w:right w:w="0" w:type="dxa"/>
        </w:tblCellMar>
        <w:tblLook w:val="04A0" w:firstRow="1" w:lastRow="0" w:firstColumn="1" w:lastColumn="0" w:noHBand="0" w:noVBand="1"/>
      </w:tblPr>
      <w:tblGrid>
        <w:gridCol w:w="1227"/>
        <w:gridCol w:w="67"/>
        <w:gridCol w:w="7778"/>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i/>
                <w:iCs/>
                <w:szCs w:val="24"/>
                <w:lang w:eastAsia="hr-HR"/>
              </w:rPr>
              <w:t>Poglavlje</w:t>
            </w:r>
          </w:p>
        </w:tc>
        <w:tc>
          <w:tcPr>
            <w:tcW w:w="0" w:type="auto"/>
            <w:hideMark/>
          </w:tcPr>
          <w:p w:rsidR="005203CE" w:rsidRPr="005203CE" w:rsidRDefault="005203CE" w:rsidP="005203CE">
            <w:pPr>
              <w:spacing w:before="120" w:after="0" w:line="240" w:lineRule="auto"/>
              <w:jc w:val="center"/>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20 KOMUNALNI OTPAD (OTPAD IZ DOMAĆINSTVA I SLIČAN OTPAD IZ TRGOVINE, INDUSTRIJE I INSTITUCIJA) UKLJUČUJUĆI I ODVOJENO SAKUPLJENE FRAKCIJE</w:t>
            </w:r>
          </w:p>
        </w:tc>
      </w:tr>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i/>
                <w:iCs/>
                <w:szCs w:val="24"/>
                <w:lang w:eastAsia="hr-HR"/>
              </w:rPr>
              <w:t>Potpoglavlje</w:t>
            </w:r>
          </w:p>
        </w:tc>
        <w:tc>
          <w:tcPr>
            <w:tcW w:w="0" w:type="auto"/>
            <w:hideMark/>
          </w:tcPr>
          <w:p w:rsidR="005203CE" w:rsidRPr="005203CE" w:rsidRDefault="005203CE" w:rsidP="005203CE">
            <w:pPr>
              <w:spacing w:before="120" w:after="0" w:line="240" w:lineRule="auto"/>
              <w:jc w:val="center"/>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20 01 odvojeno sakupljene frakcije (osim 15 01)</w:t>
            </w:r>
          </w:p>
        </w:tc>
      </w:tr>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i/>
                <w:iCs/>
                <w:szCs w:val="24"/>
                <w:lang w:eastAsia="hr-HR"/>
              </w:rPr>
              <w:t>Unos</w:t>
            </w:r>
          </w:p>
        </w:tc>
        <w:tc>
          <w:tcPr>
            <w:tcW w:w="0" w:type="auto"/>
            <w:hideMark/>
          </w:tcPr>
          <w:p w:rsidR="005203CE" w:rsidRPr="005203CE" w:rsidRDefault="005203CE" w:rsidP="005203CE">
            <w:pPr>
              <w:spacing w:before="120" w:after="0" w:line="240" w:lineRule="auto"/>
              <w:jc w:val="center"/>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20 01 02 staklo</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Pri razvrstavanju otpada potrebno je prije svega provjeriti je li otpad obuhvaćen područjem primjene naslova poglavlja. Ako jest, potrebno je potom provjeriti je li otpad obuhvaćen područjem primjene naslova potpoglavlja. Tek tada se u potpoglavlju traži odgovarajuća oznaka.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slučaju prethodno navedenog otpada razvrstanog u unos 20 01 02 to znači sljedeće:</w:t>
      </w: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otpad mora biti otpad iz domaćinstava ili sličan otpad iz trgovine, industrije i institucija (kako bi se mogao razvrstati u poglavlje 20),</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52"/>
        <w:gridCol w:w="8820"/>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otpad se mora prikupljati odvojeno (kako bi se mogao razvrstati u potpoglavlje 20 01) i</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885"/>
        <w:gridCol w:w="8187"/>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mora sadržavati staklo,</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ali ne smije biti staklena ambalaža jer ambalažni otpad nije obuhvaćen naslovom potpoglavlja 20 01, već ga je potrebno rasporediti u unos iz poglavlja 15 za ambalažni otpad.</w:t>
            </w:r>
          </w:p>
        </w:tc>
      </w:tr>
    </w:tbl>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Redoslijed poglavlja utvrđen u Popisu otpada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Poglavlja (dvoznamenkaste oznake) mogu se kategorizirati u tri skupine koje pri pokušaju identifikacije apsolutnih ili zrcalnih unosa koji najbolje odgovaraju predmetnom otpadu treba razmotriti prema redoslijedu unaprijed utvrđenom u Prilogu Popisu otpada:</w:t>
      </w:r>
    </w:p>
    <w:tbl>
      <w:tblPr>
        <w:tblW w:w="5000" w:type="pct"/>
        <w:tblCellSpacing w:w="0" w:type="dxa"/>
        <w:tblCellMar>
          <w:left w:w="0" w:type="dxa"/>
          <w:right w:w="0" w:type="dxa"/>
        </w:tblCellMar>
        <w:tblLook w:val="04A0" w:firstRow="1" w:lastRow="0" w:firstColumn="1" w:lastColumn="0" w:noHBand="0" w:noVBand="1"/>
      </w:tblPr>
      <w:tblGrid>
        <w:gridCol w:w="363"/>
        <w:gridCol w:w="8709"/>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A.</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od 01 do 12 i od 17 do 20</w:t>
            </w:r>
          </w:p>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i/>
                <w:iCs/>
                <w:szCs w:val="24"/>
                <w:lang w:eastAsia="hr-HR"/>
              </w:rPr>
              <w:t>poglavlja koja se odnose na izvor otpada</w:t>
            </w:r>
          </w:p>
        </w:tc>
      </w:tr>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B.</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od 13 do 15</w:t>
            </w:r>
          </w:p>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i/>
                <w:iCs/>
                <w:szCs w:val="24"/>
                <w:lang w:eastAsia="hr-HR"/>
              </w:rPr>
              <w:t>poglavlja koja se odnose na vrstu otpada</w:t>
            </w:r>
          </w:p>
        </w:tc>
      </w:tr>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C.</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16</w:t>
            </w:r>
          </w:p>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i/>
                <w:iCs/>
                <w:szCs w:val="24"/>
                <w:lang w:eastAsia="hr-HR"/>
              </w:rPr>
              <w:t>poglavlje za otpad koji nije specificiran drugdje na popisu</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 xml:space="preserve">Prije svega potrebno je razmotriti poglavlja od 01 do 12 i od 17 do 20 (osim njihovih općih unosa koji završavaju brojem 99), u kojima se otpad identificira prema izvoru ili industrijskom sektoru podrijetla. Umjesto razmatranja opće vrste industrije u kojoj otpad nastaje potrebno je razmotriti konkretan industrijski postupak. Otpad iz automobilske industrije jedan je od primjera: ovisno o postupku, otpad se može razvrstati u poglavlje 12 (otpad od oblikovanja i fizičke i mehaničke površinske obrade metala i plastike), poglavlje 11 (otpad od kemijske površinske obrade i zaštite metala i drugih materijala; hidrometalurgije obojenih metala) ili </w:t>
      </w:r>
      <w:r w:rsidRPr="005203CE">
        <w:rPr>
          <w:rFonts w:ascii="inherit" w:eastAsia="Times New Roman" w:hAnsi="inherit" w:cs="Times New Roman"/>
          <w:color w:val="000000"/>
          <w:szCs w:val="24"/>
          <w:lang w:eastAsia="hr-HR"/>
        </w:rPr>
        <w:lastRenderedPageBreak/>
        <w:t>poglavlje 08 (otpad nastao proizvodnjom, formulacijom, opskrbom i uporabom (PFOU) premaza (boje, lakovi i staklasti emajli), ljepila, sredstava za brtvljenje i tiskarskih boja). U ovoj fazi ne smije se upotrebljavati oznaka 99 iz tih poglavlja.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Ako u poglavljima od 01 do 12 ili od 17 do 20 nije moguće pronaći odgovarajuću oznaku otpada, potrebno je provjeriti poglavlja od 13 do 15, koja su sljedeća prema utvrđenom redoslijedu (osim njihovih općih unosa koji završavaju brojem 99). Ta se poglavlja odnose na prirodu samog otpada, npr. ambalažni otpad.</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Ako se oznake otpada iz tih poglavlja ne mogu primijeniti, otpad je potrebno identificirati u skladu s poglavljem 16 (osim njegovih općih unosa koji završavaju brojem 99), kojim je obuhvaćen raznolik skup tokova otpada koji se ne mogu drukčije konkretno povezati s određenim postupkom ili sektorom, kao što je npr. sektor otpadne električne i elektroničke opreme (OEEO) ili dotrajalih vozila.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Ako se otpad ne može razumno rasporediti ni u jedan unos u poglavlju 16, potrebno je pronaći odgovarajuću oznaku 99 (otpad koji nije specificiran na drugi način) u odjeljku popisa koji se odnosi na izvor otpada utvrđen u prvom koraku.</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Identifikacija najprikladnijeg unosa važan je korak u razvrstavanju otpada te zahtijeva ispravnu i iskrenu prosudbu operatera na temelju saznanja o podrijetlu i postupku nastanka te o mogućem sastavu otpada. U Prilogu 1.2. navedene su detaljnije informacije o načinu primjene Popisa i prethodno utvrđenog redoslijeda te sažetak informacija otprije navedenih u dijagramu toka (vidjeti sliku 1.).</w:t>
      </w:r>
    </w:p>
    <w:p w:rsidR="005203CE" w:rsidRPr="005203CE" w:rsidRDefault="005203CE" w:rsidP="005203CE">
      <w:pPr>
        <w:spacing w:before="120" w:after="120" w:line="240" w:lineRule="auto"/>
        <w:jc w:val="center"/>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Tablica 1.</w:t>
      </w:r>
    </w:p>
    <w:p w:rsidR="005203CE" w:rsidRPr="005203CE" w:rsidRDefault="005203CE" w:rsidP="005203CE">
      <w:pPr>
        <w:spacing w:before="120" w:after="120" w:line="240" w:lineRule="auto"/>
        <w:jc w:val="center"/>
        <w:rPr>
          <w:rFonts w:ascii="inherit" w:eastAsia="Times New Roman" w:hAnsi="inherit" w:cs="Times New Roman"/>
          <w:color w:val="000000"/>
          <w:szCs w:val="24"/>
          <w:lang w:eastAsia="hr-HR"/>
        </w:rPr>
      </w:pPr>
      <w:r w:rsidRPr="005203CE">
        <w:rPr>
          <w:rFonts w:ascii="inherit" w:eastAsia="Times New Roman" w:hAnsi="inherit" w:cs="Times New Roman"/>
          <w:b/>
          <w:bCs/>
          <w:color w:val="000000"/>
          <w:szCs w:val="24"/>
          <w:lang w:eastAsia="hr-HR"/>
        </w:rPr>
        <w:t>Poglavlja Popisa otpada</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191"/>
        <w:gridCol w:w="6234"/>
        <w:gridCol w:w="1631"/>
      </w:tblGrid>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OZNAKA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OPIS POGLAVLJA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REDOSLIJED</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NASTAJE KOD ISTRAŽIVANJA I KOPANJA RUDA, ISKOPAVANJA KAMENA I FIZIČKOG I KEMIJSKOG OBRAĐIVANJA RUDA</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IZ POLJOPRIVREDE, VRTLARSTVA, PROIZVODNJE VODENIH KULTURA, ŠUMARSTVA, LOVA I RIBARSTVA, PRIPREMANJA HRANE I PRERADE</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PRERADE DRVA I PROIZVODNJE PLOČA I NAMJEŠTAJA, CELULOZE, PAPIRA I KARTONA</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IZ KOŽARSKE, KRZNARSKE I TEKSTILNE INDUSTRIJE</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PRERADE NAFTE, PROČIŠĆIVANJA PRIRODNOG PLINA I PIROLITIČKE OBRADE UGLJENA</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IZ ANORGANSKIH KEMIJSKIH PROCESA</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IZ ORGANSKIH KEMIJSKIH PROCESA</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NASTAO PROIZVODNJOM, FORMULACIJOM, OPSKRBOM I UPORABOM (PFOU) PREMAZA (BOJE, LAKOVI I STAKLASTI EMAJLI), LJEPILA, SREDSTAVA ZA BRTVLJENJE I TISKARSKIH BOJA</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IZ FOTOGRAFSKE INDUSTRIJE</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IZ TERMIČKIH PROCESA</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lastRenderedPageBreak/>
              <w:t>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KEMIJSKE POVRŠINSKE OBRADE I ZAŠTITE METALA I DRUGIH MATERIJALA; HIDROMETALURGIJE OBOJENIH METALA</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OBLIKOVANJA I FIZIČKE I MEHANIČKE POVRŠINSKE OBRADE METALA I PLASTIKE</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OTPADNA ULJA I OTPADNA TEKUĆA GORIVA (OSIM JESTIVIH ULJA I ONIH IZ POGLAVLJA 05 I 12)</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OTPADNA ORGANSKA OTAPALA, RASHLADNI I POTISNI MEDIJI (OSIM 07 I 08)</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AMBALAŽNI OTPAD; APSORBENSI, TKANINE ZA BRISANJE, FILTARSKI MATERIJALI I ZAŠTITNA ODJEĆA KOJA NIJE DRUGDJE SPECIFICIRANA</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DRUGDJE NA POPISU</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C</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GRAĐEVINSKI OTPAD I OTPAD OD RUŠENJA (UKLJUČUJUĆI OTPAD OD ISKAPANJA ONEČIŠĆENOG TLA)</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NASTAJE KOD ZAŠTITE ZDRAVLJA LJUDI ILI ŽIVOTINJA I/ILI SRODNIH ISTRAŽIVANJA (OSIM OTPADA IZ KUHINJA I RESTORANA KOJI NE POTJEČE IZ NEPOSREDNE ZDRAVSTVENE ZAŠTITE)</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IZ POSTROJENJA ZA GOSPODARENJE OTPADOM, POSTROJENJA ZA PROČIŠĆIVANJE OTPADNIH VODA IZVAN MJESTA NJIHOVOG NASTANKA I PRIPREME VODE ZA PIĆE I VODE ZA INDUSTRIJSKU UPORABU</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KOMUNALNI OTPAD (OTPAD IZ DOMAĆINSTVA I SLIČAN OTPAD IZ TRGOVINE, INDUSTRIJE I INSTITUCIJA) UKLJUČUJUĆI I ODVOJENO SAKUPLJENE FRAKCIJE</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r>
    </w:tbl>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Vrste unosa na Popisu otpada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Svi unosi označeni zvjezdicom (*) smatraju se opasnim otpadom. Kako je već navedeno u poglavlju 3.1.2., sva 842 unosa na Popisu otpada mogu se podijeliti na apsolutno opasne (AH – </w:t>
      </w:r>
      <w:r w:rsidRPr="005203CE">
        <w:rPr>
          <w:rFonts w:ascii="inherit" w:eastAsia="Times New Roman" w:hAnsi="inherit" w:cs="Times New Roman"/>
          <w:i/>
          <w:iCs/>
          <w:color w:val="000000"/>
          <w:szCs w:val="24"/>
          <w:lang w:eastAsia="hr-HR"/>
        </w:rPr>
        <w:t>absolute hazardous</w:t>
      </w:r>
      <w:r w:rsidRPr="005203CE">
        <w:rPr>
          <w:rFonts w:ascii="inherit" w:eastAsia="Times New Roman" w:hAnsi="inherit" w:cs="Times New Roman"/>
          <w:color w:val="000000"/>
          <w:szCs w:val="24"/>
          <w:lang w:eastAsia="hr-HR"/>
        </w:rPr>
        <w:t>), apsolutno neopasne (ANH – </w:t>
      </w:r>
      <w:r w:rsidRPr="005203CE">
        <w:rPr>
          <w:rFonts w:ascii="inherit" w:eastAsia="Times New Roman" w:hAnsi="inherit" w:cs="Times New Roman"/>
          <w:i/>
          <w:iCs/>
          <w:color w:val="000000"/>
          <w:szCs w:val="24"/>
          <w:lang w:eastAsia="hr-HR"/>
        </w:rPr>
        <w:t>absolute non-hazardous</w:t>
      </w:r>
      <w:r w:rsidRPr="005203CE">
        <w:rPr>
          <w:rFonts w:ascii="inherit" w:eastAsia="Times New Roman" w:hAnsi="inherit" w:cs="Times New Roman"/>
          <w:color w:val="000000"/>
          <w:szCs w:val="24"/>
          <w:lang w:eastAsia="hr-HR"/>
        </w:rPr>
        <w:t>), zrcalne opasne (MH – </w:t>
      </w:r>
      <w:r w:rsidRPr="005203CE">
        <w:rPr>
          <w:rFonts w:ascii="inherit" w:eastAsia="Times New Roman" w:hAnsi="inherit" w:cs="Times New Roman"/>
          <w:i/>
          <w:iCs/>
          <w:color w:val="000000"/>
          <w:szCs w:val="24"/>
          <w:lang w:eastAsia="hr-HR"/>
        </w:rPr>
        <w:t>mirror hazardous</w:t>
      </w:r>
      <w:r w:rsidRPr="005203CE">
        <w:rPr>
          <w:rFonts w:ascii="inherit" w:eastAsia="Times New Roman" w:hAnsi="inherit" w:cs="Times New Roman"/>
          <w:color w:val="000000"/>
          <w:szCs w:val="24"/>
          <w:lang w:eastAsia="hr-HR"/>
        </w:rPr>
        <w:t>) i zrcalne neopasne (MNH – </w:t>
      </w:r>
      <w:r w:rsidRPr="005203CE">
        <w:rPr>
          <w:rFonts w:ascii="inherit" w:eastAsia="Times New Roman" w:hAnsi="inherit" w:cs="Times New Roman"/>
          <w:i/>
          <w:iCs/>
          <w:color w:val="000000"/>
          <w:szCs w:val="24"/>
          <w:lang w:eastAsia="hr-HR"/>
        </w:rPr>
        <w:t>mirror non-hazardous</w:t>
      </w:r>
      <w:r w:rsidRPr="005203CE">
        <w:rPr>
          <w:rFonts w:ascii="inherit" w:eastAsia="Times New Roman" w:hAnsi="inherit" w:cs="Times New Roman"/>
          <w:color w:val="000000"/>
          <w:szCs w:val="24"/>
          <w:lang w:eastAsia="hr-HR"/>
        </w:rPr>
        <w:t>) unose (vidjeti tablicu 2.). Prema tome, svaki je otpad ili opasan ili neopasan.</w:t>
      </w:r>
    </w:p>
    <w:p w:rsidR="005203CE" w:rsidRPr="005203CE" w:rsidRDefault="005203CE" w:rsidP="005203CE">
      <w:pPr>
        <w:spacing w:before="120" w:after="120" w:line="240" w:lineRule="auto"/>
        <w:jc w:val="center"/>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Tablica 2.</w:t>
      </w:r>
    </w:p>
    <w:p w:rsidR="005203CE" w:rsidRPr="005203CE" w:rsidRDefault="005203CE" w:rsidP="005203CE">
      <w:pPr>
        <w:spacing w:before="120" w:after="120" w:line="240" w:lineRule="auto"/>
        <w:jc w:val="center"/>
        <w:rPr>
          <w:rFonts w:ascii="inherit" w:eastAsia="Times New Roman" w:hAnsi="inherit" w:cs="Times New Roman"/>
          <w:color w:val="000000"/>
          <w:szCs w:val="24"/>
          <w:lang w:eastAsia="hr-HR"/>
        </w:rPr>
      </w:pPr>
      <w:r w:rsidRPr="005203CE">
        <w:rPr>
          <w:rFonts w:ascii="inherit" w:eastAsia="Times New Roman" w:hAnsi="inherit" w:cs="Times New Roman"/>
          <w:b/>
          <w:bCs/>
          <w:color w:val="000000"/>
          <w:szCs w:val="24"/>
          <w:lang w:eastAsia="hr-HR"/>
        </w:rPr>
        <w:t>Broj unosa na Popisu otpada</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113"/>
        <w:gridCol w:w="2252"/>
        <w:gridCol w:w="2408"/>
        <w:gridCol w:w="2283"/>
      </w:tblGrid>
      <w:tr w:rsidR="005203CE" w:rsidRPr="005203CE" w:rsidTr="005203CE">
        <w:trPr>
          <w:tblCellSpacing w:w="0" w:type="dxa"/>
        </w:trPr>
        <w:tc>
          <w:tcPr>
            <w:tcW w:w="0" w:type="auto"/>
            <w:gridSpan w:val="4"/>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842 unosa na Popisu otpada</w:t>
            </w:r>
          </w:p>
        </w:tc>
      </w:tr>
      <w:tr w:rsidR="005203CE" w:rsidRPr="005203CE" w:rsidTr="005203CE">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408 opasnih unosa</w:t>
            </w:r>
          </w:p>
        </w:tc>
        <w:tc>
          <w:tcPr>
            <w:tcW w:w="0" w:type="auto"/>
            <w:gridSpan w:val="2"/>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434 neopasna unosa</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230 AH</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178 MH</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188 MNH</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246 ANH</w:t>
            </w:r>
          </w:p>
        </w:tc>
      </w:tr>
    </w:tbl>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   Apsolutno opasan (AH) unos</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Otpad koji je raspoređen u apsolutno opasne unose ne može se uvrstiti u alternativne neopasne unose i opasan je bez dodatne procjene.</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lastRenderedPageBreak/>
        <w:t>Na Popisu otpada s komentarima apsolutno opasni unosi označeni su tamnocrvenom bojom (vidjeti tablicu 3. u odjeljku 1.2.1. ovog Priloga).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Ako se otpad rasporedi u apsolutno opasni otpad, razvrstava se kao opasan i nije potrebna dodatna procjena kako bi se donijela odluka o obvezi njegova razvrstavanja kao opasnog. Međutim, ipak je potrebno poduzeti korake 3. i 4. (vidjeti poglavlje 3.2.) kako bi se utvrdilo koja opasna svojstva predmetni otpad pokazuje jer bi ti podaci mogli biti potrebni kako bi se ispunile odredbe o ispravnom označivanju opasnog otpada iz članka 19. ODO-a o pravilnom označivanju opasnog otpada (npr. za ispunjavanje tovarnog lista za promet otpada).</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   Apsolutno neopasan (ANH) unos</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Otpad koji je raspoređen u apsolutno neopasne unose ne može se uvrstiti u alternativne opasne unose te se bez dodatne procjene razvrstava kao neopasan.</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Na Popisu otpada s komentarima apsolutno neopasni unosi označeni su crnom bojom (vidjeti tablicu 3. u odjeljku 1.2.1. ovog Priloga).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Ako se otpad rasporedi u apsolutno neopasni otpad, razvrstava se kao neopasan i nije potrebna dodatna procjena kako bi se donijela odluka o obvezi njegova razvrstavanja kao neopasnog.</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   Zrcalni unos</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Zrcalni unosi mogu se definirati kao dva povezana unosa ili više njih od kojih je jedan opasan, a drugi nije. Katkad jedna strana zrcalnog unosa može imati nekoliko mogućih povezanih alternativnih unosa. Za razliku od AH ili ANH unosa, ako se otpad uvrštava u skupinu alternativnih unosa, za uvrštavanje je potrebno obaviti dodatnu procjenu. Alternativni se unosi sastoje od najmanje sljedećih unosa:</w:t>
      </w: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b/>
                <w:bCs/>
                <w:szCs w:val="24"/>
                <w:lang w:eastAsia="hr-HR"/>
              </w:rPr>
              <w:t>Zrcalni opasan (MH) unos</w:t>
            </w:r>
          </w:p>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Na Popisu otpada s komentarima zrcalni opasni unosi označeni su narančastom bojom (vidjeti tablicu 3. u odjeljku 1.2.1.).</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b/>
                <w:bCs/>
                <w:szCs w:val="24"/>
                <w:lang w:eastAsia="hr-HR"/>
              </w:rPr>
              <w:t>Zrcalni neopasan (MNH) unos</w:t>
            </w:r>
          </w:p>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Na Popisu otpada s komentarima zrcalni neopasni unosi označeni su tamnoplavom bojom (vidjeti tablicu 3. u odjeljku 1.2.1.).</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Zrcalni unosi mogu se podijeliti na potkategorije navedene u nastavku.</w:t>
      </w: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O alternativnim MH i MNH unosima odlučuje se na temelju općeg upućivanja na opasne tvari, npr.:</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169"/>
              <w:gridCol w:w="6949"/>
              <w:gridCol w:w="698"/>
            </w:tblGrid>
            <w:tr w:rsidR="005203CE" w:rsidRP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12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kruti otpad od obrade plinova koji sadržava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MH</w:t>
                  </w:r>
                </w:p>
              </w:tc>
            </w:tr>
            <w:tr w:rsidR="005203CE" w:rsidRP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10 12 10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kruti otpad od obrade plinova koji nije naveden pod 10 12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MNH</w:t>
                  </w:r>
                </w:p>
              </w:tc>
            </w:tr>
          </w:tbl>
          <w:p w:rsidR="005203CE" w:rsidRPr="005203CE" w:rsidRDefault="005203CE" w:rsidP="005203CE">
            <w:pPr>
              <w:spacing w:after="0" w:line="240" w:lineRule="auto"/>
              <w:rPr>
                <w:rFonts w:ascii="inherit" w:eastAsia="Times New Roman" w:hAnsi="inherit" w:cs="Times New Roman"/>
                <w:szCs w:val="24"/>
                <w:lang w:eastAsia="hr-HR"/>
              </w:rPr>
            </w:pP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O alternativnim MH i MNH unosima odlučuje se na temelju specifičnog upućivanja na određene opasne tvari, npr.:</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429"/>
              <w:gridCol w:w="6533"/>
              <w:gridCol w:w="854"/>
            </w:tblGrid>
            <w:tr w:rsidR="005203CE" w:rsidRP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01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kočne obloge koje sadržavaju azbest</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MH</w:t>
                  </w:r>
                </w:p>
              </w:tc>
            </w:tr>
            <w:tr w:rsidR="005203CE" w:rsidRP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16 01 12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kočne obloge koje nisu navedene pod 16 01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MNH</w:t>
                  </w:r>
                </w:p>
              </w:tc>
            </w:tr>
          </w:tbl>
          <w:p w:rsidR="005203CE" w:rsidRPr="005203CE" w:rsidRDefault="005203CE" w:rsidP="005203CE">
            <w:pPr>
              <w:spacing w:after="0" w:line="240" w:lineRule="auto"/>
              <w:rPr>
                <w:rFonts w:ascii="inherit" w:eastAsia="Times New Roman" w:hAnsi="inherit" w:cs="Times New Roman"/>
                <w:szCs w:val="24"/>
                <w:lang w:eastAsia="hr-HR"/>
              </w:rPr>
            </w:pP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lastRenderedPageBreak/>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Kad je riječ o unosima s upućivanjem na više unosa, raspoređivanje u unos može ovisiti o podrijetlu ili određenim svojstvima predmetnog otpada te o opasnim tvarima koje bi on mogao sadržavati, npr.:</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061"/>
              <w:gridCol w:w="7121"/>
              <w:gridCol w:w="634"/>
            </w:tblGrid>
            <w:tr w:rsidR="005203CE" w:rsidRP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06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izolacijski materijali koji sadržavaju azbest</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MH</w:t>
                  </w:r>
                </w:p>
              </w:tc>
            </w:tr>
            <w:tr w:rsidR="005203CE" w:rsidRP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06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izolacijski materijali, koji se sastoje od opasnih tvari ili ih sadržavaju</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MH</w:t>
                  </w:r>
                </w:p>
              </w:tc>
            </w:tr>
            <w:tr w:rsidR="005203CE" w:rsidRP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17 06 04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izolacijski materijali koji nisu navedeni pod 17 06 01 i 17 06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MNH</w:t>
                  </w:r>
                </w:p>
              </w:tc>
            </w:tr>
          </w:tbl>
          <w:p w:rsidR="005203CE" w:rsidRPr="005203CE" w:rsidRDefault="005203CE" w:rsidP="005203CE">
            <w:pPr>
              <w:spacing w:after="0" w:line="240" w:lineRule="auto"/>
              <w:rPr>
                <w:rFonts w:ascii="inherit" w:eastAsia="Times New Roman" w:hAnsi="inherit" w:cs="Times New Roman"/>
                <w:szCs w:val="24"/>
                <w:lang w:eastAsia="hr-HR"/>
              </w:rPr>
            </w:pP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Odgovarajuće zrcalne unose između MH i MNH unosa može se često, ali ne nužno, prepoznati prema izrazu „koje nisu navedene pod…”.</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Ako se otpad može rasporediti ili u MH unos ili u MNH unos, potrebno je nastaviti s koracima od 3. do 5. (vidjeti poglavlje 3.2.) postupka razvrstavanja kako bi se utvrdili prisutnost i udio opasnih tvari u relevantnim koncentracijama ili kako bi se utvrdilo pokazuje li otpad izravno opasna svojstva radi odgovarajućeg raspoređivanja predmetnog toka otpada u MH ili MNH unos.</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5203CE" w:rsidRPr="005203CE" w:rsidTr="005203C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203CE" w:rsidRPr="005203CE" w:rsidRDefault="005203CE" w:rsidP="005203CE">
            <w:pPr>
              <w:spacing w:before="240" w:after="120" w:line="240" w:lineRule="auto"/>
              <w:jc w:val="both"/>
              <w:rPr>
                <w:rFonts w:ascii="inherit" w:eastAsia="Times New Roman" w:hAnsi="inherit" w:cs="Times New Roman"/>
                <w:b/>
                <w:bCs/>
                <w:szCs w:val="24"/>
                <w:lang w:eastAsia="hr-HR"/>
              </w:rPr>
            </w:pPr>
            <w:r w:rsidRPr="005203CE">
              <w:rPr>
                <w:rFonts w:ascii="inherit" w:eastAsia="Times New Roman" w:hAnsi="inherit" w:cs="Times New Roman"/>
                <w:b/>
                <w:bCs/>
                <w:szCs w:val="24"/>
                <w:lang w:eastAsia="hr-HR"/>
              </w:rPr>
              <w:t>Apsolutno neopasan unos koji pokazuje opasna svojstva</w:t>
            </w:r>
          </w:p>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Treba napomenuti da se otpad koji se raspoređuje u ANH unos razvrstava kao neopasan bez dodatne procjene njegovih opasnih svojstava. Jedina je iznimka od tog načela opisana u članku 7. stavku 2. ODO-a, u skladu s kojim će se predmetni otpad razvrstati kao opasan ako nadležno tijelo predmetne države članice smatra da određeni otpad raspoređen u ANH unos na temelju dostatnih dokaza zapravo treba razvrstati kao opasan. O tome je potrebno izvijestiti Komisiju zbog mogućih budućih izmjena Popisa otpada.</w:t>
            </w:r>
          </w:p>
          <w:p w:rsidR="005203CE" w:rsidRPr="005203CE" w:rsidRDefault="005203CE" w:rsidP="005203CE">
            <w:pPr>
              <w:spacing w:before="240" w:after="120" w:line="240" w:lineRule="auto"/>
              <w:jc w:val="both"/>
              <w:rPr>
                <w:rFonts w:ascii="inherit" w:eastAsia="Times New Roman" w:hAnsi="inherit" w:cs="Times New Roman"/>
                <w:b/>
                <w:bCs/>
                <w:szCs w:val="24"/>
                <w:lang w:eastAsia="hr-HR"/>
              </w:rPr>
            </w:pPr>
            <w:r w:rsidRPr="005203CE">
              <w:rPr>
                <w:rFonts w:ascii="inherit" w:eastAsia="Times New Roman" w:hAnsi="inherit" w:cs="Times New Roman"/>
                <w:b/>
                <w:bCs/>
                <w:szCs w:val="24"/>
                <w:lang w:eastAsia="hr-HR"/>
              </w:rPr>
              <w:t>Apsolutno opasan unos koji ne pokazuje opasna svojstva</w:t>
            </w:r>
          </w:p>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Ako se predmetni otpad može rasporediti samo u AH unos, razvrstava se kao opasan. Jedina iznimka od tog načela nastupa u skladu s člankom 7. stavkom 3. ODO-a ako relevantna država članica na temelju dostavljenih dostatnih dokaza o suprotnome smatra da je predmetni otpad neopasan. O tome je potrebno izvijestiti Komisiju zbog mogućih budućih izmjena Popisa otpada.</w:t>
            </w:r>
          </w:p>
          <w:p w:rsidR="005203CE" w:rsidRPr="005203CE" w:rsidRDefault="005203CE" w:rsidP="005203CE">
            <w:pPr>
              <w:spacing w:before="240" w:after="120" w:line="240" w:lineRule="auto"/>
              <w:jc w:val="both"/>
              <w:rPr>
                <w:rFonts w:ascii="inherit" w:eastAsia="Times New Roman" w:hAnsi="inherit" w:cs="Times New Roman"/>
                <w:b/>
                <w:bCs/>
                <w:szCs w:val="24"/>
                <w:lang w:eastAsia="hr-HR"/>
              </w:rPr>
            </w:pPr>
            <w:r w:rsidRPr="005203CE">
              <w:rPr>
                <w:rFonts w:ascii="inherit" w:eastAsia="Times New Roman" w:hAnsi="inherit" w:cs="Times New Roman"/>
                <w:b/>
                <w:bCs/>
                <w:szCs w:val="24"/>
                <w:lang w:eastAsia="hr-HR"/>
              </w:rPr>
              <w:t>Razvrstavanje zrcalnih unosa – procjena opasnih svojstava</w:t>
            </w:r>
          </w:p>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Koraci opisani u poglavlju 3.2. potrebni su samo ako se predmetni otpad razvrstava u MH ili MNH unos ili ako je potrebno procijeniti opasna svojstva određenog otpada razvrstanog kao AH, npr. radi ispunjavanja tovarnog lista.</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184"/>
        <w:gridCol w:w="7888"/>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i/>
                <w:iCs/>
                <w:szCs w:val="24"/>
                <w:lang w:eastAsia="hr-HR"/>
              </w:rPr>
              <w:t>Okvir 1.:</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b/>
                <w:bCs/>
                <w:szCs w:val="24"/>
                <w:lang w:eastAsia="hr-HR"/>
              </w:rPr>
              <w:t>Ocjenjivanje opasnih svojstava: ANH, AH, zrcalni unosi</w:t>
            </w:r>
          </w:p>
        </w:tc>
      </w:tr>
    </w:tbl>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1.2.    </w:t>
      </w:r>
      <w:r w:rsidRPr="005203CE">
        <w:rPr>
          <w:rFonts w:ascii="inherit" w:eastAsia="Times New Roman" w:hAnsi="inherit" w:cs="Times New Roman"/>
          <w:b/>
          <w:bCs/>
          <w:i/>
          <w:iCs/>
          <w:color w:val="000000"/>
          <w:szCs w:val="24"/>
          <w:lang w:eastAsia="hr-HR"/>
        </w:rPr>
        <w:t>Utvrđivanje prikladnog unosa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Kako bi se otpad mogao razvrstati, važno je poduzeti sve da bi se utvrdilo sljedeće:</w:t>
      </w:r>
    </w:p>
    <w:tbl>
      <w:tblPr>
        <w:tblW w:w="5000" w:type="pct"/>
        <w:tblCellSpacing w:w="0" w:type="dxa"/>
        <w:tblCellMar>
          <w:left w:w="0" w:type="dxa"/>
          <w:right w:w="0" w:type="dxa"/>
        </w:tblCellMar>
        <w:tblLook w:val="04A0" w:firstRow="1" w:lastRow="0" w:firstColumn="1" w:lastColumn="0" w:noHBand="0" w:noVBand="1"/>
      </w:tblPr>
      <w:tblGrid>
        <w:gridCol w:w="310"/>
        <w:gridCol w:w="876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izvor otpada (konkretni postupak ili aktivnost u okviru kojih je nastao)</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462"/>
        <w:gridCol w:w="8610"/>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vrsta otpada (ili vrste ako je riječ o mješavini).</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 xml:space="preserve">Kad su te informacije dostupne, potrebno je razmotriti cijeli popis otpada i slijediti upute navedene u nastavku. Odabir najprikladnijeg unosa za otpad od sveukupno 842 dostupna unosa </w:t>
      </w:r>
      <w:r w:rsidRPr="005203CE">
        <w:rPr>
          <w:rFonts w:ascii="inherit" w:eastAsia="Times New Roman" w:hAnsi="inherit" w:cs="Times New Roman"/>
          <w:color w:val="000000"/>
          <w:szCs w:val="24"/>
          <w:lang w:eastAsia="hr-HR"/>
        </w:rPr>
        <w:lastRenderedPageBreak/>
        <w:t>na Popisu otpada složen je postupak. Najprije je potrebno u cijelosti razmotriti cijeli popis, a otpad mora odgovarati konačno odabranom unosu, potpoglavlju i poglavlju kako je opisano za unos 20 01 02 u prethodnom poglavlju.</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Popis je sastavljen tako da možete utvrditi više od jednog unosa, pa ćete morati poduzeti dodatne korake za procjenu iz poglavlja 3.2. radi odabira najprikladnijeg unosa.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Naslovi poglavlja i potpoglavlja ograničuju područje primjene potpoglavlja i unosa u njima, a mogu uključivati i određene iznimke. Važno je provjeriti te naslove prije odabira unosa.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Dijagram toka (slika 1. u Prilogu 1.) naveden je kako bi vas vodio kroz postupak i trebalo bi ga upotrebljavati u kombinaciji s uputama. Riječ je o faznom postupku koji će možda trebati ponoviti nekoliko puta.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noProof/>
          <w:color w:val="000000"/>
          <w:szCs w:val="24"/>
          <w:lang w:eastAsia="hr-HR"/>
        </w:rPr>
        <w:lastRenderedPageBreak/>
        <w:drawing>
          <wp:inline distT="0" distB="0" distL="0" distR="0">
            <wp:extent cx="6257925" cy="9058275"/>
            <wp:effectExtent l="0" t="0" r="9525" b="9525"/>
            <wp:docPr id="22"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57925" cy="9058275"/>
                    </a:xfrm>
                    <a:prstGeom prst="rect">
                      <a:avLst/>
                    </a:prstGeom>
                    <a:noFill/>
                    <a:ln>
                      <a:noFill/>
                    </a:ln>
                  </pic:spPr>
                </pic:pic>
              </a:graphicData>
            </a:graphic>
          </wp:inline>
        </w:drawing>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lastRenderedPageBreak/>
        <w:t>Korak A1</w:t>
      </w: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Prvo treba usporediti određeni postupak ili aktivnost u okviru kojih je otpad nastao s naslovima poglavlja od 01 do 12 te od 17 do 20. Ako postupak ili aktivnost pripada u područje primjene jednog naslova poglavlja ili više njih, potrebno je provjeriti naslove potpoglavlja u njima.</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Ako postupak ili aktivnost odgovara području primjene naslova poglavlja i potpoglavlja, potrebno je u tom potpoglavlju potražiti unos koji jasno odgovara konkretnoj vrsti otpada.</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365"/>
        <w:gridCol w:w="8707"/>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U toj fazi ne bi trebalo upotrebljavati opći unos XX XX 99.</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302"/>
        <w:gridCol w:w="8770"/>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Ako ne možete pronaći prikladan unos (ili unose), prijeđite na korak A2.</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5203CE" w:rsidRPr="005203CE" w:rsidTr="005203C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203CE" w:rsidRPr="005203CE" w:rsidRDefault="005203CE" w:rsidP="005203CE">
            <w:pPr>
              <w:spacing w:before="240" w:after="120" w:line="240" w:lineRule="auto"/>
              <w:jc w:val="both"/>
              <w:rPr>
                <w:rFonts w:ascii="inherit" w:eastAsia="Times New Roman" w:hAnsi="inherit" w:cs="Times New Roman"/>
                <w:b/>
                <w:bCs/>
                <w:szCs w:val="24"/>
                <w:lang w:eastAsia="hr-HR"/>
              </w:rPr>
            </w:pPr>
            <w:r w:rsidRPr="005203CE">
              <w:rPr>
                <w:rFonts w:ascii="inherit" w:eastAsia="Times New Roman" w:hAnsi="inherit" w:cs="Times New Roman"/>
                <w:b/>
                <w:bCs/>
                <w:szCs w:val="24"/>
                <w:lang w:eastAsia="hr-HR"/>
              </w:rPr>
              <w:t>Određeni postupak ili aktivnost</w:t>
            </w:r>
          </w:p>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Postupak ili aktivnost nije opća grana industrije ili poslovanja.</w:t>
            </w:r>
          </w:p>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Poduzeće će možda trebati razvrstati svaku fazu svojih aktivnosti ili postupaka u različita poglavlja.</w:t>
            </w:r>
          </w:p>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Na primjer, za postupak proizvodnje automobila određeni se otpad iz različitih faza proizvodnje može nalaziti u poglavljima 12 (otpad od oblikovanja i površinske obrade metala), 11 (anorganski otpad koji sadržava metale nastao obradom metala i zaštitom metala) i 08 (otpad od uporabe premaza).</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Korak A2</w:t>
      </w: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U drugom koraku treba usporediti konkretnu vrstu otpada s naslovima poglavlja od 13 do 15. Ako vrsta otpada pripada u područje primjene jednog naslova poglavlja ili više njih, potrebno je provjeriti naslove potpoglavlja u njima.</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Ako vrsta otpada odgovara području primjene naslova poglavlja i potpoglavlja, potrebno je u tom potpoglavlju potražiti unos koji jasno odgovara konkretnoj vrsti otpada.</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369"/>
        <w:gridCol w:w="8703"/>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Prema potrebi možete se služiti općim unosom XX XX 99.</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302"/>
        <w:gridCol w:w="8770"/>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Ako ne možete pronaći prikladan unos (ili unose), prijeđite na korak A3.</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Raspoređivanje u takvu opću oznaku XX XX 99 krajnja je mjera i trebalo bi ga što više izbjegavati.</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Korak A3</w:t>
      </w: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U trećem koraku treba provjeriti pripada li otpad području primjene naslova potpoglavlja iz poglavlja 16.</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Ako vrsta otpada odgovara području primjene naslova određenog potpoglavlja, potrebno je u tom potpoglavlju potražiti unos koji jasno odgovara konkretnoj vrsti otpada.</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302"/>
        <w:gridCol w:w="8770"/>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lastRenderedPageBreak/>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Ako ne možete pronaći prikladan unos (ili unose), prijeđite na korak A4.</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Korak A4</w:t>
      </w: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Na kraju se vratite na korak A1 i rasporedite otpad u opći unos XX XX 99 iz poglavlja i potpoglavlja koje odgovara postupku ili aktivnosti u okviru kojih je otpad nastao.</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9"/>
        <w:gridCol w:w="8823"/>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Prije raspoređivanja u unos XX XX 99 provjerite jesu li razmotreni koraci od A1 do A3.</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Pri izvršavanju koraka od A1 do A4 predmetni bi otpad trebalo rasporediti ili u AH unos ili ANH unos ili u najprikladnije zrcalne unose. U potonjem je slučaju potrebno nastaviti s korakom 3. (vidjeti poglavlje 3.2.) postupka razvrstavanja kako bi se konačno odlučilo hoće li se otpad rasporediti u MH unos ili MNH unos.</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Dijagram toka iz slike 1. Priloga 1. trebao bi samo pomoći pri raspoređivanju određenog toka otpada u najprikladniji unos ili par zrcalnog unosa. Važno je napomenuti da bi postupak razvrstavanja trebalo smatrati faznim postupkom koji će možda biti potrebno ponoviti nekoliko puta.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Dodatna je pomoć u tom kontekstu dostupna u sljedećim odjeljcima:</w:t>
      </w:r>
    </w:p>
    <w:tbl>
      <w:tblPr>
        <w:tblW w:w="5000" w:type="pct"/>
        <w:tblCellSpacing w:w="0" w:type="dxa"/>
        <w:tblCellMar>
          <w:left w:w="0" w:type="dxa"/>
          <w:right w:w="0" w:type="dxa"/>
        </w:tblCellMar>
        <w:tblLook w:val="04A0" w:firstRow="1" w:lastRow="0" w:firstColumn="1" w:lastColumn="0" w:noHBand="0" w:noVBand="1"/>
      </w:tblPr>
      <w:tblGrid>
        <w:gridCol w:w="381"/>
        <w:gridCol w:w="8691"/>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u odjeljku 1.2.1. priložen je Popis otpada s komentarima,</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u odjeljku 1.3. navode se konkretni primjeri za složene unose namijenjeni ilustraciji postupka razvrstavanja,</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u odjeljku 1.4. navedeni su primjeri za razvrstavanje posebnih sastojaka određenih vrsta otpada.</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5203CE" w:rsidRPr="005203CE" w:rsidTr="005203C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203CE" w:rsidRPr="005203CE" w:rsidRDefault="005203CE" w:rsidP="005203CE">
            <w:pPr>
              <w:spacing w:before="240" w:after="120" w:line="240" w:lineRule="auto"/>
              <w:jc w:val="both"/>
              <w:rPr>
                <w:rFonts w:ascii="inherit" w:eastAsia="Times New Roman" w:hAnsi="inherit" w:cs="Times New Roman"/>
                <w:b/>
                <w:bCs/>
                <w:szCs w:val="24"/>
                <w:lang w:eastAsia="hr-HR"/>
              </w:rPr>
            </w:pPr>
            <w:r w:rsidRPr="005203CE">
              <w:rPr>
                <w:rFonts w:ascii="inherit" w:eastAsia="Times New Roman" w:hAnsi="inherit" w:cs="Times New Roman"/>
                <w:b/>
                <w:bCs/>
                <w:szCs w:val="24"/>
                <w:lang w:eastAsia="hr-HR"/>
              </w:rPr>
              <w:t>Razvrstavanje miješanog otpada</w:t>
            </w:r>
          </w:p>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Ako postoji više od jedne vrste otpada, svaku bi trebalo razmotriti zasebno. Time se osigurava da se proizvod ili serija opasnog otpada</w:t>
            </w:r>
          </w:p>
          <w:tbl>
            <w:tblPr>
              <w:tblW w:w="5000" w:type="pct"/>
              <w:tblCellSpacing w:w="0" w:type="dxa"/>
              <w:tblCellMar>
                <w:left w:w="0" w:type="dxa"/>
                <w:right w:w="0" w:type="dxa"/>
              </w:tblCellMar>
              <w:tblLook w:val="04A0" w:firstRow="1" w:lastRow="0" w:firstColumn="1" w:lastColumn="0" w:noHBand="0" w:noVBand="1"/>
            </w:tblPr>
            <w:tblGrid>
              <w:gridCol w:w="240"/>
              <w:gridCol w:w="8486"/>
            </w:tblGrid>
            <w:tr w:rsidR="005203CE" w:rsidRP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pogrešno ne razvrsta kao neopasna zbog miješanja (razrjeđivanja) s drugim vrstama otpada (vidjeti članak 7. stavak 4. ODO-a),</w:t>
                  </w:r>
                </w:p>
              </w:tc>
            </w:tr>
          </w:tbl>
          <w:p w:rsidR="005203CE" w:rsidRPr="005203CE" w:rsidRDefault="005203CE" w:rsidP="005203CE">
            <w:pPr>
              <w:spacing w:after="0" w:line="240" w:lineRule="auto"/>
              <w:rPr>
                <w:rFonts w:ascii="inherit" w:eastAsia="Times New Roman" w:hAnsi="inherit"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0"/>
              <w:gridCol w:w="8486"/>
            </w:tblGrid>
            <w:tr w:rsidR="005203CE" w:rsidRP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identificira na vrijeme kako bi se spriječilo miješanje s drugim otpadom, npr. u kanti za smeće, vreći za smeće, skladištu ili kontejneru (vidjeti članak 18. ODO-a).</w:t>
                  </w:r>
                </w:p>
              </w:tc>
            </w:tr>
          </w:tbl>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Od tih je zahtjeva izuzet jedino miješani komunalni otpad iz domaćinstva.</w:t>
            </w:r>
          </w:p>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Na popisu je naveden mali broj unosa za miješani otpad. Prema općem pravilu (radi ispunjavanja kriterija o miješanju iz ODO-a), oni su namijenjeni za otpad iz poduzeća koji nastaje u okviru određenog postupka kao jedinstveni miješani otpad. Nisu namijenjeni za otpad (ili proizvode otpada) koji nastaje odvojeno i naknadno se povezuje s drugim vrstama otpada (na primjer, stavlja se u isti kontejner).</w:t>
            </w:r>
          </w:p>
        </w:tc>
      </w:tr>
    </w:tbl>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1.2.1.   </w:t>
      </w:r>
      <w:r w:rsidRPr="005203CE">
        <w:rPr>
          <w:rFonts w:ascii="inherit" w:eastAsia="Times New Roman" w:hAnsi="inherit" w:cs="Times New Roman"/>
          <w:b/>
          <w:bCs/>
          <w:i/>
          <w:iCs/>
          <w:color w:val="000000"/>
          <w:szCs w:val="24"/>
          <w:lang w:eastAsia="hr-HR"/>
        </w:rPr>
        <w:t>Popis otpada s komentarima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tablici 3. navedeni su svi unosi iz Popisa otpada te je jasno navedeno koji su od njih ANH, AN, MNH i MH unosi.</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lastRenderedPageBreak/>
        <w:t>Treba napomenuti da je tumačenje vrsta unosa na Popisu otpada s komentarima u nastavku samo jedno od mogućih tumačenja u kojem se kombiniraju stajališta različitih država članica. Na razini država članica postoje drukčija tumačenja koja se isto tako mogu provjeriti.</w:t>
      </w:r>
      <w:hyperlink r:id="rId73" w:anchor="ntr1-C_2018124HR.01002101-E0001"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1</w:t>
        </w:r>
        <w:r w:rsidRPr="005203CE">
          <w:rPr>
            <w:rFonts w:ascii="inherit" w:eastAsia="Times New Roman" w:hAnsi="inherit" w:cs="Times New Roman"/>
            <w:color w:val="0000FF"/>
            <w:szCs w:val="24"/>
            <w:u w:val="single"/>
            <w:lang w:eastAsia="hr-HR"/>
          </w:rPr>
          <w:t>)</w:t>
        </w:r>
      </w:hyperlink>
    </w:p>
    <w:p w:rsidR="005203CE" w:rsidRPr="005203CE" w:rsidRDefault="005203CE" w:rsidP="005203CE">
      <w:pPr>
        <w:spacing w:before="120" w:after="120" w:line="240" w:lineRule="auto"/>
        <w:jc w:val="center"/>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Tablica 3.</w:t>
      </w:r>
    </w:p>
    <w:p w:rsidR="005203CE" w:rsidRPr="005203CE" w:rsidRDefault="005203CE" w:rsidP="005203CE">
      <w:pPr>
        <w:spacing w:before="120" w:after="120" w:line="240" w:lineRule="auto"/>
        <w:jc w:val="center"/>
        <w:rPr>
          <w:rFonts w:ascii="inherit" w:eastAsia="Times New Roman" w:hAnsi="inherit" w:cs="Times New Roman"/>
          <w:color w:val="000000"/>
          <w:szCs w:val="24"/>
          <w:lang w:eastAsia="hr-HR"/>
        </w:rPr>
      </w:pPr>
      <w:r w:rsidRPr="005203CE">
        <w:rPr>
          <w:rFonts w:ascii="inherit" w:eastAsia="Times New Roman" w:hAnsi="inherit" w:cs="Times New Roman"/>
          <w:b/>
          <w:bCs/>
          <w:color w:val="000000"/>
          <w:szCs w:val="24"/>
          <w:lang w:eastAsia="hr-HR"/>
        </w:rPr>
        <w:t>Popis otpada s komentarima</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191"/>
        <w:gridCol w:w="6695"/>
        <w:gridCol w:w="1170"/>
      </w:tblGrid>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OZNAKA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OPIS POGLAVLJA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VRSTA UNOSA</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b/>
                <w:bCs/>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NASTAJE KOD ISTRAŽIVANJA I KOPANJA RUDA, ISKOPAVANJA KAMENA I FIZIČKOG I KEMIJSKOG OBRAĐIVANJA RUDA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01 01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od iskapanja minerala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01 01 01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iskapanja metalnih mineralnih sirovina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01 01 02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iskapanja nemetalnih mineralnih sirovina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01 03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od fizičke i kemijske prerade metalnih mineralnih sirovina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01 03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kisela jalovina od prerade sulfidne rude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01 03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ostala jalovina koja sadržava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01 03 06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jalovina koja nije navedena pod 01 03 04 i 01 03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01 03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ostali otpad od fizičke i kemijske prerade metalnih mineralnih sirovina koji sadržava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01 03 08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u obliku prašine i praha koji nije naveden pod 01 03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01 03 09</w:t>
            </w:r>
            <w:hyperlink r:id="rId74" w:anchor="ntr2-C_2018124HR.01002101-E0002" w:history="1">
              <w:r w:rsidRPr="005203CE">
                <w:rPr>
                  <w:rFonts w:ascii="inherit" w:eastAsia="Times New Roman" w:hAnsi="inherit" w:cs="Times New Roman"/>
                  <w:color w:val="0000FF"/>
                  <w:sz w:val="22"/>
                  <w:szCs w:val="22"/>
                  <w:u w:val="single"/>
                  <w:lang w:eastAsia="hr-HR"/>
                </w:rPr>
                <w:t> (</w:t>
              </w:r>
              <w:r w:rsidRPr="005203CE">
                <w:rPr>
                  <w:rFonts w:ascii="inherit" w:eastAsia="Times New Roman" w:hAnsi="inherit" w:cs="Times New Roman"/>
                  <w:color w:val="0000FF"/>
                  <w:sz w:val="15"/>
                  <w:szCs w:val="15"/>
                  <w:u w:val="single"/>
                  <w:vertAlign w:val="superscript"/>
                  <w:lang w:eastAsia="hr-HR"/>
                </w:rPr>
                <w:t>2</w:t>
              </w:r>
              <w:r w:rsidRPr="005203CE">
                <w:rPr>
                  <w:rFonts w:ascii="inherit" w:eastAsia="Times New Roman" w:hAnsi="inherit" w:cs="Times New Roman"/>
                  <w:color w:val="0000FF"/>
                  <w:sz w:val="22"/>
                  <w:szCs w:val="22"/>
                  <w:u w:val="single"/>
                  <w:lang w:eastAsia="hr-HR"/>
                </w:rPr>
                <w:t>)</w:t>
              </w:r>
            </w:hyperlink>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crveni mulj iz proizvodnje aluminija koji nije naveden pod 01 03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01 03 10*</w:t>
            </w:r>
            <w:hyperlink r:id="rId75" w:anchor="ntr3-C_2018124HR.01002101-E0003" w:history="1">
              <w:r w:rsidRPr="005203CE">
                <w:rPr>
                  <w:rFonts w:ascii="inherit" w:eastAsia="Times New Roman" w:hAnsi="inherit" w:cs="Times New Roman"/>
                  <w:color w:val="0000FF"/>
                  <w:sz w:val="22"/>
                  <w:szCs w:val="22"/>
                  <w:u w:val="single"/>
                  <w:lang w:eastAsia="hr-HR"/>
                </w:rPr>
                <w:t> (</w:t>
              </w:r>
              <w:r w:rsidRPr="005203CE">
                <w:rPr>
                  <w:rFonts w:ascii="inherit" w:eastAsia="Times New Roman" w:hAnsi="inherit" w:cs="Times New Roman"/>
                  <w:color w:val="0000FF"/>
                  <w:sz w:val="15"/>
                  <w:szCs w:val="15"/>
                  <w:u w:val="single"/>
                  <w:vertAlign w:val="superscript"/>
                  <w:lang w:eastAsia="hr-HR"/>
                </w:rPr>
                <w:t>3</w:t>
              </w:r>
              <w:r w:rsidRPr="005203CE">
                <w:rPr>
                  <w:rFonts w:ascii="inherit" w:eastAsia="Times New Roman" w:hAnsi="inherit" w:cs="Times New Roman"/>
                  <w:color w:val="0000FF"/>
                  <w:sz w:val="22"/>
                  <w:szCs w:val="22"/>
                  <w:u w:val="single"/>
                  <w:lang w:eastAsia="hr-HR"/>
                </w:rPr>
                <w:t>)</w:t>
              </w:r>
            </w:hyperlink>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crveni mulj iz proizvodnje aluminija koji sadržava opasne tvari koje nisu otpad naveden pod 01 03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A</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01 03 99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ANH</w:t>
            </w:r>
            <w:r w:rsidRPr="005203CE">
              <w:rPr>
                <w:rFonts w:ascii="inherit" w:eastAsia="Times New Roman" w:hAnsi="inherit" w:cs="Times New Roman"/>
                <w:sz w:val="15"/>
                <w:szCs w:val="15"/>
                <w:vertAlign w:val="superscript"/>
                <w:lang w:eastAsia="hr-HR"/>
              </w:rPr>
              <w:t>C</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01 04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od fizičke i kemijske prerade nemetalnih mineralnih sirovina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01 04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fizičke i kemijske prerade nemetalnih mineralnih sirovina koji sadržava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01 04 08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otpadni šljunak i drobljeni kamen koji nisu navedeni pod 01 04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01 04 09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otpadni pijesak i glina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01 04 10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u obliku prašine i praha koji nije naveden pod 01 04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01 04 11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prerade potaše i kamene soli koji nije naveden pod 01 04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lastRenderedPageBreak/>
              <w:t>01 04 12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jalovina i drugi otpad od ispiranja i čišćenja minerala koji nisu navedeni pod 01 04 07 i 01 04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01 04 13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rezanja i piljenja kamena koji nije naveden pod 01 04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01 04 99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01 05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isplačni muljevi i ostali otpad od bušenja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01 05 04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isplačni muljevi i ostali otpad od bušenja koji sadržava slatku vodu</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01 05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isplačni muljevi i ostali otpad od bušenja koji sadržava ulja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01 05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isplačni muljevi i ostali otpad od bušenja koji sadržava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01 05 07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isplačni muljevi i ostali otpad od bušenja koji sadržavaju barit i nisu navedeni pod 01 05 05 i 01 05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01 05 08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isplačni muljevi i ostali otpad od bušenja koji sadržavaju kloride i nisu navedeni pod 01 05 05 i 01 05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01 05 99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IZ POLJOPRIVREDE, VRTLARSTVA, PROIZVODNJE VODENIH KULTURA, ŠUMARSTVA, LOVA I RIBARSTVA, PRIPREMANJA HRANE I PRERADE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02 01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iz poljoprivrede, vrtlarstva, proizvodnje vodenih kultura, šumarstva, lova i ribarstva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02 01 01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pranja i čišćenja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02 01 02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otpadna životinjska tkiva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02 01 03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otpadna biljna tkiva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02 01 04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otpadna plastika (osim ambalaže)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02 01 06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životinjske fekalije, urin i gnoj (uključujući onečišćenu slamu) te otpadne vode, koji se posebno skupljaju i obrađuju izvan mjesta njihova nastanka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02 01 07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iz šumarstva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02 01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kemikalija koje se koriste u poljodjelstvu koji sadržava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02 01 09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kemikalija koje se koriste u poljodjelstvu koji nije naveden pod 02 01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02 01 10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otpadni metal</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02 01 99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02 02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od pripremanja i prerade mesa, ribe i ostale hrane životinjskog podrijetla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lastRenderedPageBreak/>
              <w:t>02 02 01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pranja i čišćenja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02 02 02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otpadna životinjska tkiva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02 02 03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materijali neprikladni za potrošnju ili preradu</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02 02 04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obrade otpadnih voda na mjestu njihova nastanka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02 02 99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02 03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od pripremanja i prerade voća, povrća, žitarica, jestivih ulja, kakaa, kave, čaja i duhana; konzerviranja; proizvodnje kvasca i ekstrakta kvasca, pripremanja melase i fermentacije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02 03 01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pranja, čišćenja, guljenja, centrifugiranja i separacije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02 03 02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sredstava za konzerviranje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02 03 03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ekstrakcije otapalom</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02 03 04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materijali neprikladni za potrošnju ili preradu</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02 03 05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obrade otpadnih voda na mjestu njihova nastanka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02 03 99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02 04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od proizvodnje šećera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02 04 01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zemlja od čišćenja i pranja repe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02 04 02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kalcij karbonat koji nije u skladu sa specifikacijom</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02 04 03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obrade otpadnih voda na mjestu njihova nastanka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02 04 99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02 05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iz proizvodnje mljekarskih proizvoda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02 05 01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materijali neprikladni za potrošnju ili preradu</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02 05 02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obrade otpadnih voda na mjestu njihova nastanka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02 05 99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02 06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iz pekarstva i slastičarstva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02 06 01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materijali neprikladni za potrošnju ili preradu</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02 06 02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sredstava za konzerviranje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02 06 03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obrade otpadnih voda na mjestu njihova nastanka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02 06 99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lastRenderedPageBreak/>
              <w:t>02 07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nastao proizvodnjom alkoholnih i bezalkoholnih pića (osim kave, čaja i kakaa)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02 07 01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pranja, čišćenja i mehaničke obrade sirovina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02 07 02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destilacije alkohola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02 07 03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kemijske obrade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02 07 04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materijali neprikladni za potrošnju ili preradu</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02 07 05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obrade otpadnih voda na mjestu njihova nastanka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02 07 99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PRERADE DRVA I PROIZVODNJE PLOČA I NAMJEŠTAJA, CELULOZE, PAPIRA I KARTONA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03 01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od prerade drva i proizvodnje ploča i namještaja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03 01 01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otpadna kora i pluto</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03 01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piljevina, strugotine, otpaci od rezanja drva, drvo, otpaci dasaka i furnira, koji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03 01 05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piljevina, strugotine, otpaci od rezanja drva, drvo, otpaci dasaka i furnira, koji nisu navedeni pod 03 01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03 01 99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03 02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od zaštite drva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03 02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nehalogenirana organska sredstva za zaštitu drva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03 02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organoklorna sredstva za zaštitu drva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03 02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organometalna sredstva za zaštitu drva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03 02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anorganska sredstva za zaštitu drva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03 02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ostala sredstva za zaštitu drva koja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03 02 99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sredstva za zaštitu drva koja nisu specificirana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03 03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od proizvodnje i prerade celuloze, papira i kartona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03 03 01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otpadna kora i drvo</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03 03 02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obrade sulfitnih lugova (od oporabe komponenti iz tekućine za kuhanje)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03 03 05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obezbojenja kod recikliranja papira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03 03 07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mehanički izdvojeni škart od prerade otpadnog papira i kartona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03 03 08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sortiranja papira i kartona namijenjenih recikliranju</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lastRenderedPageBreak/>
              <w:t>03 03 09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otpadni vapneni mulj</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03 03 10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škart od vlakana, muljevi od vlakana, punila i premaza iz mehaničke separacije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03 03 11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obrade otpadnih voda na mjestu njihova nastanka koji nisu navedeni pod 03 03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03 03 99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IZ KOŽARSKE, KRZNARSKE I TEKSTILNE INDUSTRIJE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04 01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iz kožarske i krznarske industrije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04 01 01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uklanjanja potkožnog tkiva i razlaganja vapnom</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04 01 02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krečenja sirove kože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04 01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odmašćivanja koji sadržava otapala bez tekuće faze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04 01 04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tekućine od štavljenja koje sadržavaju krom</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04 01 05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tekućine od štavljenja koje ne sadržavaju krom</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04 01 06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posebno od obrade otpadnih voda na mjestu njihova nastanka, koji sadržavaju krom</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04 01 07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posebno od obrade otpadnih voda na mjestu njihova nastanka, koji ne sadržavaju krom</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04 01 08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otpadna štavljena koža (plava platna, strugotine, otpaci, prah od poliranja) koja sadržava krom</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04 01 09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obrade i završne obrade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04 01 99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04 02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iz tekstilne industrije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04 02 09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složenih (kompozitnih) materijala (impregnirani tekstil, elastomeri, plastomeri)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04 02 10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organske tvari iz prirodnih proizvoda (npr. mast, vosak)</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04 02 14*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završne obrade koji sadržava organska otapala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04 02 15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završne obrade koji nije naveden pod 04 02 14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04 02 16*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bojila i pigmenti, koji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04 02 17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bojila i pigmenti, koji nisu navedeni pod 04 02 16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04 02 19*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obrade otpadnih voda na mjestu njihova nastanka koji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04 02 20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obrade otpadnih voda na mjestu njihova nastanka koji nisu navedeni pod 04 02 19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lastRenderedPageBreak/>
              <w:t>04 02 21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neprerađenih tekstilnih vlakana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04 02 22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prerađenih tekstilnih vlakana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04 02 99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PRERADE NAFTE, PROČIŠĆIVANJA PRIRODNOG PLINA I PIROLITIČKE OBRADE UGLJENA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05 01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od prerade nafte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05 01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odsoljavanja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05 01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talozi s dna spremnika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05 01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kiseli muljevi iz alkilacije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05 01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razlivena nafta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05 01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zauljeni muljevi od održavanja uređaja i opreme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05 01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kiseli katrani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05 01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ostali katrani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05 01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obrade otpadnih voda na mjestu njihova nastanka koji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05 01 10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obrade otpadnih voda na mjestu njihova nastanka koji nisu navedeni pod 05 01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05 01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čišćenja goriva lužinama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05 01 12*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ulja koja sadržavaju kiseline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05 01 13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pripreme napojne vode za kotlove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05 01 14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iz rashladnih stupova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05 01 15*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istrošena glina za filtraciju</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05 01 16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sadržava sumpor iz procesa odsumporavanja nafte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05 01 17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bitumen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05 01 99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05 06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od pirolitičke obrade ugljena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05 06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kiseli katrani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05 06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ostali katrani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05 06 04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iz rashladnih stupova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05 06 99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lastRenderedPageBreak/>
              <w:t>05 07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od pročišćavanja i transporta prirodnog plina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05 07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sadržava živu</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05 07 02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sadržava sumpor</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05 07 99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IZ ANORGANSKIH KEMIJSKIH PROCESA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06 01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od proizvodnje, formulacije, opskrbe i uporabe (PFOU) kiselina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 01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sumporna i sumporasta kiselina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 01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solna kiselina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 01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fluorovodična kiselina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 01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fosforna i fosforasta kiselina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 01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nitratna i nitritna kiselina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 01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ostale kiseline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06 01 99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06 02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od PFOU lužina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 02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kalcijev hidroksid</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 02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amonijev hidroksid</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 02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natrijev i kalijev hidroksid</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 02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ostale lužine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06 02 99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06 03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od PFOU soli i njihovih otopina i metalnih oksida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 03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krute soli i otopine koje sadržavaju cijanide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 03 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krute soli i otopine koje sadržavaju teške metale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06 03 14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krute soli i otopine koje nisu navedene pod 06 03 11 i 06 03 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 03 15*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metalni oksidi koji sadržavaju teške metale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06 03 16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metalni oksidi koji nisu navedeni pod 06 03 15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06 03 99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06 04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koji sadržava metale koji nije naveden pod 06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 04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sadržava arsen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lastRenderedPageBreak/>
              <w:t>06 04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sadržava živu</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 04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sadržava ostale teške metale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06 04 99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06 05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muljevi od obrade otpadnih voda na mjestu njihova nastanka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 05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obrade otpadnih voda na mjestu njihova nastanka koji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06 05 03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obrade otpadnih voda na mjestu njihova nastanka koji nisu navedeni pod 06 05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06 06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od PFOU kemikalija sa sumporom, kemijskih procesa sa sumporom i procesa odsumporavanja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 06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sadržava opasne sulfide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06 06 03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sadržava sulfide i koji nije naveden pod 06 06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06 06 99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06 07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od PFOU halogena i kemijskih procesa s halogenima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 07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elektrolize koji sadržava azbest</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 07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aktivni ugljen od proizvodnje klora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 07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 barijevog sulfata koji sadržava živu</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 07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otopine i kiseline, npr. kontaktna kiselina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06 07 99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06 08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od PFOU silicija i silicijevih spojeva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 08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sadržava opasne klorosilane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06 08 99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06 09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od PFOU kemikalija s fosforom i kemijskih procesa s fosforom</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06 09 02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šljaka koja sadržava fosfor</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 09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reakcija na bazi kalcija, koji sadržava opasne tvari ili je onečišćen opasnim tvarima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06 09 04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reakcija na bazi kalcija, koji nije naveden pod 06 09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06 09 99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lastRenderedPageBreak/>
              <w:t>06 10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od PFOU kemikalija s dušikom, kemijskih procesa s dušikom i proizvodnje umjetnih gnojiva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 10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sadržava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06 10 99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06 11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iz proizvodnje anorganskih pigmenata i sredstava za bojenje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06 11 01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iz kemijskih procesa na bazi kalcija iz proizvodnje titanovog dioksida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06 11 99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06 13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iz anorganskih kemijskih procesa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 13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anorganska sredstva za zaštitu bilja, sredstva za zaštitu drva i drugi biocidi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 13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istrošeni aktivni ugljen (osim 06 07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06 13 03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ugljeno crnilo</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 13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iz prerade azbesta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 13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čađa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06 13 99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IZ ORGANSKIH KEMIJSKIH PROCESA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07 01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nastao proizvodnjom, formulacijom, opskrbom i uporabom (PFOU) osnovnih organskih kemikalija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01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vodene tekućine za ispiranje i matični lugovi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01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organska halogenirana otapala, tekućine za ispiranje i matični lugovi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01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ostala organska otapala, tekućine za ispiranje i matični lugovi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01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halogenirani talozi od destilacija i ostaci reakcija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01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ostali talozi od destilacija i ostaci reakcija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01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halogenirani filtarski kolači i istrošeni apsorbensi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01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ostali filtarski kolači i istrošeni apsorbensi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01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obrade otpadnih voda na mjestu njihova nastanka koji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07 01 12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obrade otpadnih voda na mjestu njihova nastanka koji nisu navedeni pod 07 01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07 01 99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07 02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iz PFOU plastike, sintetske gume i umjetnih vlakana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02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vodene tekućine za ispiranje i matični lugovi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02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organska halogenirana otapala, tekućine za ispiranje i matični lugovi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02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ostala organska otapala, tekućine za ispiranje i matični lugovi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02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halogenirani talozi od destilacija i ostaci reakcija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02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ostali talozi od destilacija i ostaci reakcija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02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halogenirani filtarski kolači i istrošeni apsorbensi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02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ostali filtarski kolači i istrošeni apsorbensi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02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obrade otpadnih voda na mjestu njihova nastanka koji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07 02 12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obrade otpadnih voda na mjestu njihova nastanka koji nisu navedeni pod 07 02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07 02 13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otpadna plastika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02 14*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dodataka koji sadržava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07 02 15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dodataka koji nije naveden pod 07 02 14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02 16*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sadržava opasne silikone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07 02 17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sadržava silikone osim onog koji je naveden pod 07 02 16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07 02 99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07 03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iz PFOU organskih boja i pigmenata (osim 06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03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vodene tekućine za ispiranje i matični lugovi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03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organska halogenirana otapala, tekućine za ispiranje i matični lugovi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03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ostala organska otapala, tekućine za ispiranje i matični lugovi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03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halogenirani talozi od destilacija i ostaci reakcija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03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ostali talozi od destilacija i ostaci reakcija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03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halogenirani filtarski kolači i istrošeni apsorbensi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03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ostali filtarski kolači i istrošeni apsorbensi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03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obrade otpadnih voda na mjestu njihova nastanka koji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07 03 12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obrade otpadnih voda na mjestu njihova nastanka koji nisu navedeni pod 07 03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07 03 99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07 04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iz PFOU organskih sredstava za zaštitu bilja (osim 02 01 08 i 02 01 09), zaštitu drva (osim 03 02) i drugih biocida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lastRenderedPageBreak/>
              <w:t>07 04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vodene tekućine za ispiranje i matični lugovi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04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organska halogenirana otapala, tekućine za ispiranje i matični lugovi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04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ostala organska otapala, tekućine za ispiranje i matični lugovi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04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halogenirani talozi od destilacija i ostaci reakcija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04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ostali talozi od destilacija i ostaci reakcija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04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halogenirani filtarski kolači i istrošeni apsorbensi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04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ostali filtarski kolači i istrošeni apsorbensi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04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obrade otpadnih voda na mjestu njihova nastanka koji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07 04 12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obrade otpadnih voda na mjestu njihova nastanka koji nisu navedeni pod 07 04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04 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kruti otpad koji sadržava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07 04 99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07 05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iz PFOU farmaceutskih proizvoda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05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vodene tekućine za ispiranje i matični lugovi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05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organska halogenirana otapala, tekućine za ispiranje i matični lugovi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05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ostala organska otapala, tekućine za ispiranje i matični lugovi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05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halogenirani talozi od destilacija i ostaci reakcija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05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ostali talozi od destilacija i ostaci reakcija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05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halogenirani filtarski kolači i istrošeni apsorbensi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05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ostali filtarski kolači i istrošeni apsorbensi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05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obrade otpadnih voda na mjestu njihova nastanka koji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07 05 12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obrade otpadnih voda na mjestu njihova nastanka koji nisu navedeni pod 07 05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05 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kruti otpad koji sadržava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07 05 14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kruti otpad koji nije naveden pod 07 05 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07 05 99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07 06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iz PFOU masti, masnoće, sapuna, deterdženata, sredstava za dezinfekciju i kozmetike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06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vodene tekućine za ispiranje i matični lugovi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06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organska halogenirana otapala, tekućine za ispiranje i matični lugovi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06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ostala organska otapala, tekućine za ispiranje i matični lugovi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06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halogenirani talozi od destilacija i ostaci reakcija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lastRenderedPageBreak/>
              <w:t>07 06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ostali talozi od destilacija i ostaci reakcija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06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halogenirani filtarski kolači i istrošeni apsorbensi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06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ostali filtarski kolači i istrošeni apsorbensi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06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obrade otpadnih voda na mjestu njihova nastanka koji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07 06 12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obrade otpadnih voda na mjestu njihova nastanka koji nisu navedeni pod 07 06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07 06 99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07 07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iz PFOU finih kemikalija i kemijskih proizvoda koji nisu specificirani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07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vodene tekućine za ispiranje i matični lugovi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07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organska halogenirana otapala, tekućine za ispiranje i matični lugovi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07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ostala organska otapala, tekućine za ispiranje i matični lugovi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07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halogenirani talozi od destilacija i ostaci reakcija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07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ostali talozi od destilacija i ostaci reakcija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07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halogenirani filtarski kolači i istrošeni apsorbensi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07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ostali filtarski kolači i istrošeni apsorbensi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07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obrade otpadnih voda na mjestu njihova nastanka koji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07 07 12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obrade otpadnih voda na mjestu njihova nastanka koji nisu navedeni pod 07 07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07 07 99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NASTAO PROIZVODNJOM, FORMULACIJOM, OPSKRBOM I UPORABOM (PFOU) PREMAZA (BOJE, LAKOVI I STAKLASTI EMAJLI), LJEPILA, SREDSTAVA ZA BRTVLJENJE I TISKARSKIH BOJA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08 01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iz PFOU i nastao uklanjanjem boja i lakova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08 01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otpadne boje i lakovi koji sadržavaju organska otapala ili druge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08 01 12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otpadne boje i lakovi koji nisu navedeni pod 08 01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08 01 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boja ili lakova koji sadržavaju organska otapala ili druge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08 01 14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boja ili lakova koji nisu navedeni pod 08 01 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08 01 15*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vodeni muljevi koji sadržavaju boje ili lakove koji sadržavaju organska otapala ili druge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lastRenderedPageBreak/>
              <w:t>08 01 16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vodeni muljevi koji sadržavaju boje ili lakove koji nisu navedeni pod 08 01 15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08 01 17*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uklanjanja boja ili lakova koji sadržavaju organska otapala ili druge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08 01 18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uklanjanja boja ili lakova koji nije naveden pod 08 01 17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08 01 19*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vodene suspenzije koje sadržavaju boje ili lakove koji sadržavaju organska otapala ili druge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08 01 20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vodene suspenzije koje sadržavaju boje ili lakove, a koje nisu navedene pod 08 01 19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08 01 21*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sredstava za uklanjanje boja ili lakova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08 01 99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08 02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iz PFOU drugih premaza (uključujući keramičke materijale)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08 02 01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otpadni prah za premazivanje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08 02 02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vodeni muljevi koji sadržavaju keramičke materijale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08 02 03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vodene suspenzije koje sadržavaju keramičke materijale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08 02 99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08 03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iz PFOU tiskarskih boja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08 03 07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vodeni muljevi koji sadržavaju tiskarske boje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08 03 08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vodeni tekući otpad koji sadrži tiskarske boje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08 03 12*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otpadne tiskarske boje koje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08 03 13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otpadne tiskarske boje koje nisu navedene pod 08 03 12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08 03 14*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tiskarskih boja koji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08 03 15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tiskarskih boja koji nisu navedeni pod 08 03 14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08 03 16*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otpadne otopine za graviranje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08 03 17*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otpadni tiskarski toneri koji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08 03 18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otpadni tiskarski toneri koji nisu navedeni pod 08 03 17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08 03 19*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disperzivno ulje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08 03 99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08 04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nastao iz PFOU ljepila i sredstava za brtvljenje (uključujući vodonepropusne proizvode)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08 04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otpadna ljepila i sredstva za brtvljenje koja sadržavaju organska otapala ili druge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08 04 10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otpadna ljepila i sredstva za brtvljenje koja nisu navedena pod 08 04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lastRenderedPageBreak/>
              <w:t>08 04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ljepila i sredstava za brtvljenje koji sadržavaju organska otapala ili druge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08 04 12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ljepila i sredstava za brtvljenje koji nisu navedeni pod 08 04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08 04 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vodeni muljevi koji sadržavaju ljepila ili sredstva za brtvljenje koja sadržavaju organska otapala ili druge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08 04 14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vodeni muljevi koji sadržavaju ljepila ili sredstva za brtvljenje, a koji nisu navedeni pod 08 04 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08 04 15*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vodeni tekući otpad koji sadržava ljepila ili sredstva za brtvljenje koja sadržavaju organska otapala ili druge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08 04 16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vodeni tekući otpad koji sadržava ljepila ili sredstva za brtvljenje koji nije naveden pod 08 04 15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08 04 17*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kolofonij ulje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08 04 99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08 05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koji nije specificiran na drugi način u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08 05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otpadni izocianati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IZ FOTOGRAFSKE INDUSTRIJE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09 01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iz fotografske industrije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09 01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razvijači i aktivatori na bazi vode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09 01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razvijači za offset ploče na bazi vode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09 01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razvijači na bazi otapala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09 01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otopine za fiksiranje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09 01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otopine za izbjeljivanje i fiksiranje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09 01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sadržava srebro, a potječe od obrade fotografskog otpada na mjestu njegova nastanka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09 01 07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fotografski film i papir, koji sadrže srebro ili spojeve srebra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09 01 08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fotografski film i papir koji ne sadrže srebro ili spojeve srebra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09 01 10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fotografski aparati za jednokratnu uporabu bez baterija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09 01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fotografski aparati za jednokratnu uporabu koji sadržavaju baterije navedene pod 16 06 01, 16 06 02 ili 16 06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09 01 12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fotografski aparati za jednokratnu uporabu koji sadržavaju baterije, a koji nisu navedeni pod 09 01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09 01 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vodeni tekući otpad od regeneracije srebra na mjestu nastanka, koji nije naveden pod 09 01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09 01 99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IZ TERMIČKIH PROCESA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10 01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iz elektrana i ostalih postrojenja za sagorijevanje (osim 19)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10 01 01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pepeo s rešetke ložišta, talog i prašina iz kotla (osim prašine iz kotla navedene pod 10 01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10 01 02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lebdeći pepeo od izgaranja ugljena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10 01 03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lebdeći pepeo od izgaranja treseta i neobrađenog drva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01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lebdeći pepeo od izgaranja ulja i prašina iz kotla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10 01 05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kruti reakcijski otpad na bazi kalcija, koji nastaje pri odsumporavanju dimnih plinova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10 01 07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muljeviti reakcijski otpad na bazi kalcija, koji nastaje pri odsumporavanju dimnih plinova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01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sumporna kiselina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01 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lebdeći pepeo od emulgiranih ugljikovodika koji se koriste kao gorivo</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01 14*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šljaka s rešetki ložišta, šljaka i prašina iz kotla od suspaljivanja koje sadrže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10 01 15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pepeo s rešetke ložišta, talog i prašina iz kotla od suspaljivanja koji nisu navedeni pod 10 01 14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01 16*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lebdeći pepeo od suspaljivanja koji sadržava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10 01 17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lebdeći pepeo od suspaljivanja koji nije naveden pod 10 01 16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01 18*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pročišćavanja plinova koji sadržava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10 01 19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pročišćavanja plinova koji nije naveden pod 10 01 05, 10 01 07 i 10 01 18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01 20*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obrade otpadnih voda na mjestu njihova nastanka koji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10 01 21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obrade otpadnih voda na mjestu njihova nastanka koji nisu navedeni pod 10 01 20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01 22*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vodeni muljevi od čišćenja kotla koji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10 01 23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vodeni muljevi od čišćenja kotla koji nisu navedeni pod 10 01 22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10 01 24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pijesci iz fluidiziranog sloja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10 01 25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skladištenja i pripreme goriva u elektranama koje rade na ugljen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10 01 26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obrade rashladne vode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10 01 99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10 02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iz industrije željeza i čelika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lastRenderedPageBreak/>
              <w:t>10 02 01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prerade šljake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10 02 02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neprerađena šljaka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02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kruti otpad od obrade plinova koji sadržava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10 02 08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kruti otpad od obrade plinova koji nije naveden pod 10 02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10 02 10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ogorine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02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obrade rashladnih voda koji sadržava ulje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10 02 12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obrade rashladnih voda koji nije naveden pod 10 02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02 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i filtarski kolači od obrade plinova koji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10 02 14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i filtarski kolači od obrade plina koji nisu navedeni pod 10 02 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10 02 15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ostali muljevi i filtarski kolači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A</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10 02 99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10 03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iz termičke metalurgije aluminija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10 03 02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istrošene anode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03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šljaka iz primarne proizvodnje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10 03 05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otpadna glinica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03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šljaka iz sekundarne proizvodnje koja sadržava soli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03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crna drozga iz sekundarne proizvodnje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03 15*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plivajuća pjena koja je zapaljiva ili koja u dodiru s vodom ispušta zapaljive plinove u opasnim količinama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10 03 16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plivajuća pjena koja nije navedena pod 10 03 15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03 17*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iz proizvodnje anoda koji sadržava katran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10 03 18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iz proizvodnje anoda koji sadržava ugljik i koji nije naveden pod 10 03 17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03 19*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prašina iz dimnih plinova koja sadržava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10 03 20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prašina iz dimnog plina koja nije navedena pod 10 03 19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03 21*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ostale čestice i prašina (uključujući prašinu iz kugličnog mlina) koje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10 03 22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ostale čestice i prašina (uključujući prašinu iz kugličnog mlina) koje nisu navedene pod 10 03 21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03 23*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kruti otpad od obrade plinova koji sadržava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10 03 24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kruti otpad od obrade plinova koji nije naveden pod 10 03 23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03 25*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i filtarski kolači od obrade plinova koji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10 03 26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i filtarski kolači od obrade plina koji nisu navedeni pod 10 03 25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03 27*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obrade rashladnih voda koji sadržava ulje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lastRenderedPageBreak/>
              <w:t>10 03 28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obrade rashladnih voda koji nije naveden pod 10 03 27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03 29*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obrade šljake koja sadržava soli i obrade crne drozge, koji sadržava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10 03 30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obrade šljake koja sadržava soli i obrade crne drozge, koji nije naveden pod 10 03 29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10 03 99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10 04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iz termičke metalurgije olova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04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šljaka iz primarne i sekundarne proizvodnje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04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drozga i plutajuća pjena iz primarne i sekundarne proizvodnje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04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kalcijev arsenat</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04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prašina iz dimnih plinova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04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ostale čestice i prašina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04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kruti otpad od obrade plinova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04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i filtarski kolači od obrade plinova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04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obrade rashladnih voda koji sadržava ulje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10 04 10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obrade rashladnih voda koji nije naveden pod 10 04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10 04 99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10 05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iz termičke metalurgije cinka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10 05 01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šljaka iz primarne i sekundarne proizvodnje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05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prašina iz dimnih plinova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10 05 04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ostale čestice i prašina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05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kruti otpad od obrade plinova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05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i filtarski kolači od obrade plinova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05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obrade rashladnih voda koji sadržava ulje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10 05 09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obrade rashladnih voda koji nije naveden pod 10 05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05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drozga i plivajuća pjena koje su zapaljive ili koje u dodiru s vodom ispuštaju zapaljive plinove u opasnim količinama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10 05 11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drozga i plutajuća pjena koje nisu navedene pod 10 05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10 05 99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10 06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iz termičke metalurgije bakra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10 06 01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šljaka iz primarne i sekundarne proizvodnje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10 06 02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drozga i plutajuća pjena iz primarne i sekundarne proizvodnje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lastRenderedPageBreak/>
              <w:t>10 06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prašina iz dimnih plinova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10 06 04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ostale čestice i prašina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06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kruti otpad od obrade plinova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06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i filtarski kolači od obrade plinova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06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obrade rashladnih voda koji sadržava ulje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10 06 10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obrade rashladnih voda koji nije naveden pod 10 06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10 06 99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10 07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iz termičke obrade srebra, zlata i platine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10 07 01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šljaka iz primarne i sekundarne proizvodnje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10 07 02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drozga i plutajuća pjena iz primarne i sekundarne proizvodnje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10 07 03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kruti otpad od obrade plinova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10 07 04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ostale čestice i prašina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10 07 05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i filtarski kolači od obrade plinova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07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obrade rashladnih voda koji sadržava ulje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10 07 08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obrade rashladnih voda koji nije naveden pod 10 07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10 07 99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10 08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iz termičke obrade ostalih obojenih metala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10 08 04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čestice i prašina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08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šljaka iz primarne i sekundarne proizvodnje koja sadržava soli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10 08 09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ostala šljaka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08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drozga i plivajuća pjena koje su zapaljive ili koje u dodiru s vodom ispuštaju zapaljive plinove u opasnim količinama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10 08 11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drozga i plutajuća pjena koje nisu navedene pod 10 08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08 12*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iz proizvodnje anoda koji sadržava katran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10 08 13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iz proizvodnje anoda koji sadržava ugljik i koji nije naveden pod 10 08 12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10 08 14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otpadne anode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08 15*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prašina iz dimnih plinova koja sadržava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10 08 16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prašina iz dimnog plina koja nije navedena pod 10 08 15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08 17*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i filtarski kolači od obrade dimnih plinova koji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10 08 18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i filtarski kolači od obrade dimnih plinova, koji nisu navedeni pod 10 08 17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lastRenderedPageBreak/>
              <w:t>10 08 19*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obrade rashladnih voda koji sadržava ulje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10 08 20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obrade rashladnih voda koji nije naveden pod 10 08 19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10 08 99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10 09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od lijevanja željeznih komada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10 09 03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šljaka iz visoke peći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09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nekorišteni ljevački pijesak i kalupi koji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10 09 06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nekorišteni ljevački pijesak i kalupi, koji nisu navedeni pod 10 09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09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korišteni ljevački pijesak i kalupi koji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10 09 08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korišteni ljevački pijesak i kalupi koji nisu navedeni pod 10 09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09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prašina iz dimnih plinova koja sadržava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10 09 10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prašina iz dimnog plina koja nije navedena pod 10 09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09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ostale čestice koje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10 09 12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ostale čestice koje nisu navedene pod 10 09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09 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otpadna veziva koja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10 09 14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otpadna veziva koja nisu navedena pod 10 09 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09 15*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otpadna sredstva za otkrivanje pukotina koja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10 09 16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otpadna sredstva za otkrivanje pukotina koja nisu navedena pod 10 09 15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10 09 99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10 10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od lijevanja obojenih metala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10 10 03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šljaka iz visoke peći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10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nekorišteni ljevački pijesak i kalupi koji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10 10 06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nekorišteni ljevački pijesak i kalupi, koji nisu navedeni pod 10 10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10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korišteni ljevački pijesak i kalupi koji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10 10 08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korišteni ljevački pijesak i kalupi koji nisu navedeni pod 10 10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10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prašina iz dimnih plinova koja sadržava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10 10 10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prašina iz dimnog plina koja nije navedena pod 10 10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10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ostale čestice koje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10 10 12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ostale čestice koje nisu navedene pod 10 10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10 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otpadna veziva koja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10 10 14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otpadna veziva koja nisu navedena pod 10 10 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10 15*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otpadna sredstva za otkrivanje pukotina koja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10 10 16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otpadna sredstva za otkrivanje pukotina koja nisu navedena pod 10 10 15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lastRenderedPageBreak/>
              <w:t>10 10 99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10 11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od proizvodnje stakla i proizvoda od stakla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10 11 03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otpadni vlaknasti materijali na bazi stakla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10 11 05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čestice i prašina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11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pripravka mješavine prije toplinske obrade koji sadržava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10 11 10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pripravka mješavine prije toplinske obrade koji nije naveden pod 10 11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11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otpadno staklo u malim česticama i stakleni prah koji sadržavaju teške metale (npr. iz katodnih cijevi)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10 11 12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otpadno staklo koje nije navedeno pod 10 11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11 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 od poliranja i brušenja stakla koji sadržava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10 11 14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 od poliranja i brušenja stakla koji nije naveden pod 10 11 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11 15*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kruti otpad od obrade dimnih plinova koji sadržava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10 11 16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kruti otpad od obrade dimnih plinova koji nije naveden pod 10 11 15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11 17*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i filtarski kolači od obrade dimnih plinova koji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10 11 18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i filtarski kolači od obrade dimnih plinova, koji nisu navedeni pod 10 11 17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11 19*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kruti otpad od obrade otpadnih voda na mjestu njihova nastanka koji sadržava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10 11 20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kruti otpad od obrade otpadnih voda na mjestu njihova nastanka koji nije naveden pod 10 11 19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10 11 99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10 12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od proizvodnje keramičke robe, cigle, pločica i građevinskog materijala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10 12 01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pripravka mješavine prije toplinske obrade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10 12 03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čestice i prašina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10 12 05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i filtarski kolači od obrade plinova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10 12 06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odbačeni kalupi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10 12 08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keramike, cigli, pločica i građevinskog materijala (nakon termičke obrade)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12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kruti otpad od obrade plinova koji sadržava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10 12 10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kruti otpad od obrade plinova koji nije naveden pod 10 12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12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glaziranja koji sadržava teške metale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lastRenderedPageBreak/>
              <w:t>10 12 12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glaziranja koji nije naveden pod 10 12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10 12 13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 od obrade otpadnih voda na mjestu njihova nastanka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10 12 99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10 13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od proizvodnje cementa, vapna i gipsa te predmeti i proizvodi dobiveni od njih</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10 13 01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pripravka mješavine prije toplinske obrade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10 13 04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kalciniranja i hidratizacije vapna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10 13 06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čestice i prašina (osim 10 13 12 i 10 13 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10 13 07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i filtarski kolači od obrade plinova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13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iz proizvodnje azbestnog cementa koji sadržava azbest</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10 13 10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iz proizvodnje azbestnog cementa koji nije naveden pod 10 13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10 13 11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kompozitnih materijala na bazi cementa koji nije naveden pod 10 13 09 i 10 13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13 12*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kruti otpad od obrade plinova koji sadržava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10 13 13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kruti otpad od obrade plinova koji nije naveden pod 10 13 12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10 13 14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otpadni beton i betonski mulj</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10 13 99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10 14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iz krematorija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14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pročišćavanja plinova koji sadržava živu</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KEMIJSKE POVRŠINSKE OBRADE I ZAŠTITE METALA I DRUGIH MATERIJALA; HIDROMETALURGIJE OBOJENIH METALA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11 01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od kemijske površinske obrade i zaštite metala i drugih materijala (npr. galvanskih postupaka, postupaka pocinčavanja, dekapiranja, jetkanja, fosfatiranja, alkalnog odmašćivanja, anodiziranja)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11 01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kiseline za dekapiranje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11 01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kiseline koje nisu specificirane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11 01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lužine za dekapiranje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11 01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fosfatiranja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11 01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i filtarski kolači, koji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11 01 10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i filtarski kolači koji nisu navedeni pod 11 01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lastRenderedPageBreak/>
              <w:t>11 01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vodene tekućine za ispiranje koje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11 01 12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vodene tekućine za ispiranje koje nisu navedene pod 11 01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11 01 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odmašćivanja koji sadržava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11 01 14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odmašćivanja koji nije naveden pod 11 01 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11 01 15*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eluati i muljevi iz membranskih sustava ili sustava ionskih izmjenjivača, koji sadrže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11 01 16*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zasićene ili istrošene smole iz ionskih izmjenjivača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11 01 98*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ostali otpad koji sadržava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A</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11 01 99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11 02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iz postupaka hidrometalurgije obojenih metala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11 02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hidrometalurgije cinka (uključujući jarozit, getit)</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11 02 03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iz proizvodnje anoda za elektrolitičke procese u vodenom mediju</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11 02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iz procesa hidrometalurgije bakra koji sadrži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11 02 06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iz procesa hidrometalurgije bakra koji nije naveden pod 11 02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11 02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ostali otpad koji sadržava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A</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11 02 99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11 03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muljevi i krute tvari od postupaka temperiranja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11 03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sadržava cijanide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11 03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ostali otpad</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11 05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iz galvanizacijskih procesa pri povišenoj temperaturi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11 05 01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tvrdi cink</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11 05 02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cinkov pepeo</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11 05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kruti otpad od obrade plinova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11 05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iscrpljena kupka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11 05 99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OBLIKOVANJA I FIZIČKE I MEHANIČKE POVRŠINSKE OBRADE METALA I PLASTIKE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12 01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od oblikovanja i fizičke i mehaničke površinske obrade metala i plastike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lastRenderedPageBreak/>
              <w:t>12 01 01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strugotine i otpiljci koji sadržavaju željezo</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12 01 02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prašina i čestice koje sadržavaju željezo</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12 01 03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strugotine i otpiljci obojenih metala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12 01 04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prašina i čestice obojenih metala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12 01 05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strugotine i otpiljci od plastike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12 01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strojna ulja na mineralnoj bazi koja sadržavaju halogene (osim emulzija i otopina)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12 01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strojna ulja na mineralnoj bazi koja ne sadržavaju halogene (osim emulzija i otopina)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12 01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emulzije i otopine za strojnu obradu koje sadržavaju halogene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12 01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emulzije i otopine za strojnu obradu koje ne sadržavaju halogene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12 01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sintetska ulja za strojnu obradu</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12 01 12*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istrošeni voskovi i masti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12 01 13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zavarivanja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12 01 14*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strojne obrade koji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12 01 15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strojne obrade koji nisu navedeni pod 12 01 14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12 01 16*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pjeskarenja koji sadržava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12 01 17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otpadni materijal od pjeskarenja koji nije naveden pod 12 01 16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12 01 18*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metalni mulj (mulj od brušenja, vlačnog glačanja i poliranja) koji sadržava ulje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12 01 19*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biološki lako razgradivo strojno ulje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12 01 20*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istrošena brusna tijela i brusni materijali, koji sadrže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12 01 21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istrošena brusna tijela i brusni materijali, koji nisu navedeni pod 12 01 20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12 01 99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12 03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od postupaka odmašćivanja vodom i parom (osim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12 03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vodene tekućine za ispiranje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12 03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odmašćivanja parom</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OTPADNA ULJA I OTPADNA TEKUĆA GORIVA (osim jestivih ulja i onih iz poglavlja 05, 12 i 19)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13 01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otpadna hidraulična ulja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13 01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hidraulična ulja koja sadrže PCB-ove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13 01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klorirane emulzije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lastRenderedPageBreak/>
              <w:t>13 01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neklorirane emulzije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13 01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klorirana hidraulička ulja na bazi minerala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13 01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neklorirana hidraulička ulja na bazi minerala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13 01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sintetska hidraulička ulja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13 01 12*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biološki lako razgradiva hidraulička ulja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13 01 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ostala hidraulička ulja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13 02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otpadna ulja za motore, prijenosnike i podmazivanje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13 02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klorirana ulja na bazi minerala za motore, prijenosnike i podmazivanje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13 02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neklorirana ulja na bazi minerala za motore, prijenosnike i podmazivanje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13 02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sintetska ulja za motore, prijenosnike i podmazivanje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13 02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biološki lako razgradiva ulja za motore, prijenosnike i podmazivanje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13 02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ostala ulja za motore, prijenosnike i podmazivanje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13 03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otpadna izolacijska ulja i ulja za prijenos topline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13 03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izolacijska ulja ili ulja za prijenos topline koja sadrže PCB-ove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13 03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klorirana izolacijska ulja i ulja za prijenos topline na bazi minerala, koja nisu navedena pod 13 03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13 03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neklorirana izolacijska ulja i ulja za prijenos topline na bazi minerala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13 03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sintetska izolacijska ulja i ulja za prijenos topline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13 03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biološki lako razgradiva izolacijska ulja i ulja za prijenos topline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13 03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ostala izolacijska ulja i ulja za prijenos topline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13 04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kaljužna ulja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13 04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kaljužna ulja iz riječnih plovila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13 04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kaljužna ulja iz odvodnih kanala u pristaništima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13 04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kaljužna ulja iz drugih plovila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13 05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sadržaj separatora ulja i vode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13 05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krute tvari iz pješčanih komora i separatora ulja i vode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13 05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iz separatora ulja i vode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13 05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iz hvatača ulja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13 05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ulje iz separatora ulja i vode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13 05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zauljena voda iz separatora ulja i vode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lastRenderedPageBreak/>
              <w:t>13 05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mješavine otpada iz pješčanih komora i separatora ulja i vode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13 07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tekućih goriva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13 07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loživo ulje i dizel</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13 07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benzin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13 07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ostala goriva (uključujući mješavine)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13 08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uljni 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13 08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ili emulzije iz desalinizatora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13 08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ostale emulzije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13 08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OTPADNA ORGANSKA OTAPALA, RASHLADNI I POTISNI MEDIJI (osim 07 i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14 06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otpadna organska otapala, rashladna sredstva i sredstva za pjenjenje/potiskivanje aerosola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14 06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klorofluorougljici, HCFC, HFC</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14 06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ostala halogenirana otapala i mješavine otapala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14 06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ostala otapala i mješavine otapala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14 06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ili kruti otpad koji sadržavaju halogenirana otapala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14 06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ili kruti otpad koji sadržavaju ostala otapala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AMBALAŽNI OTPAD; APSORBENSI, TKANINE ZA BRISANJE, FILTARSKI MATERIJALI I ZAŠTITNA ODJEĆA KOJA NIJE DRUGDJE SPECIFICIRANA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15 01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ambalaža (uključujući odvojeno prikupljen komunalni ambalažni otpad)</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15 01 01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ambalaža od papira i kartona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15 01 02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ambalaža od plastike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15 01 03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ambalaža od drva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15 01 04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ambalaža od metala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15 01 05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višeslojna (kompozitna) ambalaža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15 01 06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miješana ambalaža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lastRenderedPageBreak/>
              <w:t>15 01 07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staklena ambalaža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15 01 09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tekstilna ambalaža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15 01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ambalaža koja sadržava ostatke opasnih tvari ili je onečišćena opasnim tvarima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15 01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metalna ambalaža koja sadržava opasnu krutu poroznu matricu (npr. azbest), uključujući prazne spremnike pod tlakom</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15 02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apsorbensi, filtarski materijali, tkanine za brisanje i zaštitna odjeća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15 02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apsorbensi, filtarski materijali (uključujući filtere za ulje koji nisu specificirani na drugi način), tkanine i sredstva za brisanje te zaštitna odjeća, onečišćeni opasnim tvarima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15 02 03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apsorbensi, filtarski materijali, tkanine za brisanje te zaštitna odjeća, koji nisu navedeni pod 15 02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DRUGDJE NA POPISU</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16 01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dotrajala vozila različitih prijevoznih sredstava (uključujući tešku mehanizaciju) i otpad od rastavljanja dotrajalih vozila i održavanja vozila (osim 13, 14, 16 06 i 16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16 01 03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istrošene gume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01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dotrajala vozila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A</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16 01 06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dotrajala vozila koja ne sadržavaju tekućine ni druge opasne komponente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A</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01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filtri za ulje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01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komponente koje sadržavaju živu</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A</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01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komponente koje sadržavaju PCB-ove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A</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01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eksplozivne komponente (npr. zračni jastuci)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01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kočne obloge koje sadržavaju azbest</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16 01 12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kočne obloge koje nisu navedene pod 16 01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01 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tekućine za kočnice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01 14*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antifriz tekućine koje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16 01 15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antifriz tekućine koje nisu navedene pod 16 01 14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16 01 16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spremnici za tekući plin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16 01 17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željezni metali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16 01 18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obojeni metali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16 01 19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plastika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16 01 20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staklo</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lastRenderedPageBreak/>
              <w:t>16 01 21*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opasne komponente koje nisu navedene pod 16 01 07 do 16 01 11, 16 01 13 i 16 01 14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16 01 22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komponente koje nisu specificirane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16 01 99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16 02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od električne i elektroničke opreme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02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transformatori i kondenzatori koji sadržavaju PCB-ove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02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odbačena oprema koja sadržava PCB-ove ili je onečišćena njima, a nije navedena pod 16 02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02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odbačena oprema koja sadržava klorofluorougljike, HCFC, HFC</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02 12*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odbačena oprema koja sadržava slobodni azbest</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02 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odbačena oprema koja sadržava opasne komponente (#) koja nije navedena pod 16 02 09 do 16 02 12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16 02 14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odbačena oprema koja nije navedena pod 6 02 09 do 16 02 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02 15*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opasne komponente izvađene iz odbačene opreme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16 02 16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komponente izvađene iz odbačene opreme koje nisu navedene pod 16 02 15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16 03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serije koje ne udovoljavaju specifikaciji i nekorišteni proizvodi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03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anorganski otpad koji sadržava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16 03 04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anorganski otpad koji nije naveden pod 16 03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03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organski otpad koji sadržava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16 03 06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organski otpad koji nije naveden pod 16 03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03 07*</w:t>
            </w:r>
            <w:hyperlink r:id="rId76" w:anchor="ntr4-C_2018124HR.01002101-E0004" w:history="1">
              <w:r w:rsidRPr="005203CE">
                <w:rPr>
                  <w:rFonts w:ascii="inherit" w:eastAsia="Times New Roman" w:hAnsi="inherit" w:cs="Times New Roman"/>
                  <w:color w:val="0000FF"/>
                  <w:sz w:val="22"/>
                  <w:szCs w:val="22"/>
                  <w:u w:val="single"/>
                  <w:lang w:eastAsia="hr-HR"/>
                </w:rPr>
                <w:t> (</w:t>
              </w:r>
              <w:r w:rsidRPr="005203CE">
                <w:rPr>
                  <w:rFonts w:ascii="inherit" w:eastAsia="Times New Roman" w:hAnsi="inherit" w:cs="Times New Roman"/>
                  <w:color w:val="0000FF"/>
                  <w:sz w:val="15"/>
                  <w:szCs w:val="15"/>
                  <w:u w:val="single"/>
                  <w:vertAlign w:val="superscript"/>
                  <w:lang w:eastAsia="hr-HR"/>
                </w:rPr>
                <w:t>4</w:t>
              </w:r>
              <w:r w:rsidRPr="005203CE">
                <w:rPr>
                  <w:rFonts w:ascii="inherit" w:eastAsia="Times New Roman" w:hAnsi="inherit" w:cs="Times New Roman"/>
                  <w:color w:val="0000FF"/>
                  <w:sz w:val="22"/>
                  <w:szCs w:val="22"/>
                  <w:u w:val="single"/>
                  <w:lang w:eastAsia="hr-HR"/>
                </w:rPr>
                <w:t>)</w:t>
              </w:r>
            </w:hyperlink>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metalna živa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16 04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od eksplozivnih sredstava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04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otpadno streljivo</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04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pirotehnički otpad</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04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ostali otpad od eksplozivnih sredstava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16 05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plinovi u posudama pod tlakom i odbačene kemikalije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05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plinovi u posudama pod tlakom (uključujući halone) koji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16 05 05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plinovi u posudama pod tlakom koji nisu navedeni pod 16 05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lastRenderedPageBreak/>
              <w:t>16 05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laboratorijske kemikalije koje se sastoje od opasnih tvari ili ih sadržavaju, uključujući mješavine laboratorijskih kemikalija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05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odbačene anorganske kemikalije koje se sastoje od opasnih tvari ili ih sadržavaju</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05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odbačene organske kemikalije koje se sastoje od opasnih tvari ili ih sadržavaju</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16 05 09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odbačene kemikalije koje nisu navedene pod 16 05 06, 16 05 07 ili 16 05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16 06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baterije i akumulatori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06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olovne baterije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06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nikal-kadmij baterije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06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baterije koje sadržavaju živu</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16 06 04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alkalne baterije (osim 16 06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16 06 05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ostale baterije i akumulatori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06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odvojeno skupljeni elektroliti iz baterija i akumulatora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16 07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nastao čišćenjem spremnika za transport i skladištenje i bačava (osim 05 i 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07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sadržava ulja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07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sadržava druge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16 07 99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16 08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istrošeni katalizatori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16 08 01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istrošeni katalizatori koji sadržavaju zlato, srebro, renij, rodij, paladij, iridij ili platinu (osim 16 08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08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istrošeni katalizatori koji sadržavaju opasne prijelazne metale ili opasne spojeve prijelaznih metala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16 08 03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istrošeni katalizatori koji sadržavaju prijelazne metale ili spojeve prijelaznih metala, a koji nisu specificirani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16 08 04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istrošeni tekući katalizatori za katalitičko krekiranje (osim 16 08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08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istrošeni katalizatori koji sadržavaju fosfornu kiselinu</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08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istrošene tekućine korištene kao katalizatori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08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istrošeni katalizatori onečišćeni opasnim tvarima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16 09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oksidansi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lastRenderedPageBreak/>
              <w:t>16 09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permanganati, na primjer kalijev permanganat</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09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kromati, na primjer kalijev kromat, kalijev ili natrijev dikromat</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09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peroksidi, na primjer vodikov peroksid</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09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oksidansi koji nisu specificirani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16 10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vodeni tekući otpad za obradu izvan mjesta nastanka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10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vodeni tekući otpad koji sadržava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16 10 02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vodeni tekući otpad koji nije naveden pod 16 10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10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vodeni koncentrati koji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16 10 04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vodeni koncentrati koji nisu navedeni pod 16 10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16 11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od obloga i vatrostalnih materijala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11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obloge i vatrostalni otpad na bazi ugljika, koji potječu iz metalurških postupaka koji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16 11 02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obloge i vatrostalni otpad na bazi ugljika, koji potječu iz metalurških postupaka i nisu navedeni pod 16 11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11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ostale obloge i vatrostalni otpad koji potječu iz metalurških postupaka koji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16 11 04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ostale obloge i vatrostalni otpad iz metalurških procesa, koji nisu navedeni pod 16 11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11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obloge i vatrostalni otpad iz nemetalurških procesa, koji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16 11 06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obloge i vatrostalni otpad iz nemetalurških procesa, koji nije naveden pod 16 11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GRAĐEVINSKI OTPAD I OTPAD OD RUŠENJA (UKLJUČUJUĆI OTPAD OD ISKAPANJA ONEČIŠĆENOG TLA)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17 01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beton, cigle, pločice i keramika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17 01 01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beton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A</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17 01 02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cigle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A</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17 01 03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pločice i keramika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A</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01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mješavine ili odvojene frakcije betona, cigle, pločica i keramike, koje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17 01 07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mješavine betona, cigle, pločica i keramike koje nisu navedene pod 17 01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17 02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drvo, staklo i plastika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17 02 01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drvo</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17 02 02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staklo</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17 02 03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plastika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02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staklo, plastika i drvo koji sadržavaju opasne tvari ili su onečišćeni opasnim tvarima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17 03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bituminozne smjese, ugljeni katran i proizvodi koji sadržavaju katran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03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mješavine bitumena koje sadržavaju ugljeni katran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17 03 02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mješavine bitumena koje nisu navedene pod 17 03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03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ugljeni katran i proizvodi koji sadržavaju katran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17 04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metali (uključujući njihove legure)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17 04 01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bakar, bronca, mjed</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A</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17 04 02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aluminij</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A</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17 04 03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olovo</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A</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17 04 04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cink</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A</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17 04 05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željezo i čelik</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A</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17 04 06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kositar</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A</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17 04 07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miješani metali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A</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04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metalni otpad onečišćen opasnim tvarima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A</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04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kablovi koji sadržavaju ulje, ugljeni katran i druge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17 04 11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kablovi koji nisu navedeni pod 17 04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17 05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zemlja (uključujući iskope tla s kontaminiranih lokacija), kamenje i mulj od jaružanja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05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zemlja i kamenje koji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17 05 04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zemlja i kamenje, osim onih koji su navedeni pod 17 05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05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 od jaružanja koji sadržava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17 05 06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 od jaružanja koji nije naveden pod 17 05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05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željeznički tucanik koji sadržava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17 05 08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željeznički tucanik koji nije naveden pod 17 05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lastRenderedPageBreak/>
              <w:t>17 06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izolacijski materijali i građevinski materijali koji sadržavaju azbest</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06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izolacijski materijali koji sadržavaju azbest</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06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ostali izolacijski materijali, koji se sastoje od opasnih tvari ili ih sadržavaju</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17 06 04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izolacijski materijali koji nisu navedeni pod 17 06 01 i 17 06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06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građevinski materijali koji sadržavaju azbest</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17 08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građevinski materijal na bazi gipsa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08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građevinski materijali na bazi gipsa onečišćeni opasnim tvarima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17 08 02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građevinski materijali na bazi gipsa koji nisu navedeni pod 17 08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17 09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ostali građevinski otpad i otpad od rušenja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09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građevinski otpad i otpad od rušenja koji sadržava živu</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09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građevinski otpad i otpad od rušenja koji sadržava PCB (na primjer sredstva za brtvljenje koja sadržavaju PCB, podne obloge na bazi smola koje sadržavaju PCB, izolirajući elementi ostakljenja koji sadržavaju PCB, kondenzatori koji sadržavaju PCB)</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09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ostali građevinski otpad i otpad od rušenja objekata (uključujući miješani otpad), koji sadržava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17 09 04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miješani građevinski otpad i otpad od rušenja koji nije naveden pod 17 09 01, 17 09 02 i 17 09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NASTAJE KOD ZAŠTITE ZDRAVLJA LJUDI ILI ŽIVOTINJA I/ILI SRODNIH ISTRAŽIVANJA (osim otpada iz kuhinja i restorana koji ne potječe iz neposredne zdravstvene zaštite)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18 01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od porodništva, dijagnoze, liječenja ili prevencije bolesti kod ljudi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18 01 01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oštri predmeti (osim 18 01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18 01 02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dijelovi tijela i organi, uključujući vrećice i konzerviranu krv (osim 18 01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18 01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čije prikupljanje i zbrinjavanje mora zadovoljavati posebne uvjete radi prevencije infekcije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18 01 04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čije prikupljanje i zbrinjavanje ne mora zadovoljavati posebne uvjete radi prevencije infekcije (npr. zavoji, gips, posteljina, odjeća za jednokratnu upotrebu, pelene)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18 01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kemikalije koje se sastoje od opasnih tvari ili ih sadržavaju</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18 01 07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kemikalije koje nisu navedene pod 18 01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18 01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citotoksici i citostatici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lastRenderedPageBreak/>
              <w:t>18 01 09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lijekovi koji nisu navedeni pod 18 01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18 01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amalgamski otpad iz stomatološke zaštite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18 02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od istraživanja, dijagnoze, liječenja ili prevencije bolesti u životinja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18 02 01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oštri predmeti (osim 18 02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18 02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čije prikupljanje i zbrinjavanje mora zadovoljavati posebne uvjete radi prevencije infekcije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18 02 03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čije prikupljanje i zbrinjavanje ne mora zadovoljavati posebne uvjete radi prevencije infekcije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18 02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kemikalije koje se sastoje od opasnih tvari ili ih sadržavaju</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18 02 06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kemikalije koje nisu navedene pod 18 02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18 02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citotoksici i citostatici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18 02 08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lijekovi koji nisu navedeni pod 18 02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IZ POSTROJENJA ZA GOSPODARENJE OTPADOM, POSTROJENJA ZA PROČIŠĆIVANJE OTPADNIH VODA IZVAN MJESTA NJIHOVOG NASTANKA I PRIPREME VODE ZA PIĆE I VODE ZA INDUSTRIJSKU UPORABU</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19 01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od spaljivanja ili pirolize otpada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19 01 02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željezni materijali izdvojeni iz pepela s ložišta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01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filtarski kolači od obrade plinova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01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vodeni tekući otpad od obrade plinova i drugi vodeni tekući otpad</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01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kruti otpad od obrade plinova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01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istrošeni aktivni ugljen od obrade dimnih plinova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01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pepeo s ložišta i šljaka koji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19 01 12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pepeo s ložišta i šljaka koji nisu navedeni pod 19 01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01 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lebdeći pepeo koji sadržava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19 01 14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lebdeći pepeo koji nije naveden pod 19 01 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01 15*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prašina iz kotlova koja sadržava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19 01 16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prašina iz kotlova koja nije navedena pod 19 01 15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01 17*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pirolize koji sadržava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19 01 18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pirolize koji nije naveden pod 19 01 17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19 01 19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pijesci iz fluidiziranog sloja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19 01 99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19 02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od fizičko/kemijskih obrada otpada (uključujući uklanjanje kroma, cijanida, neutralizaciju)</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19 02 03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prethodno izmiješani otpad koji se sastoji samo od neopasnog otpada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02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prethodno izmiješani otpad koji se sastoji od najmanje jedne vrste opasnog otpada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02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fizikalno-kemijske obrade koji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19 02 06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fizičko/kemijske obrade koji nisu navedeni pod 19 02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02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ulja i koncentrati iz separacije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02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tekući zapaljivi otpad koji sadržava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02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kruti zapaljivi otpad koji sadržava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19 02 10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zapaljivi otpad koji nije naveden pod 19 02 08 i 19 02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02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ostali otpad koji sadržava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19 02 99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19 03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stabilizirani/solidificirani otpad</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03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označen kao opasan, djelomično stabiliziran, koji nije naveden pod 19 03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19 03 05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stabilizirani otpad koji nije naveden pod 19 03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03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solidificirani otpad koji je označen kao opasan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19 03 07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solidificirani otpad koji nije naveden pod 19 03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03 08*</w:t>
            </w:r>
            <w:hyperlink r:id="rId77" w:anchor="ntr5-C_2018124HR.01002101-E0005" w:history="1">
              <w:r w:rsidRPr="005203CE">
                <w:rPr>
                  <w:rFonts w:ascii="inherit" w:eastAsia="Times New Roman" w:hAnsi="inherit" w:cs="Times New Roman"/>
                  <w:color w:val="0000FF"/>
                  <w:sz w:val="22"/>
                  <w:szCs w:val="22"/>
                  <w:u w:val="single"/>
                  <w:lang w:eastAsia="hr-HR"/>
                </w:rPr>
                <w:t> (</w:t>
              </w:r>
              <w:r w:rsidRPr="005203CE">
                <w:rPr>
                  <w:rFonts w:ascii="inherit" w:eastAsia="Times New Roman" w:hAnsi="inherit" w:cs="Times New Roman"/>
                  <w:color w:val="0000FF"/>
                  <w:sz w:val="15"/>
                  <w:szCs w:val="15"/>
                  <w:u w:val="single"/>
                  <w:vertAlign w:val="superscript"/>
                  <w:lang w:eastAsia="hr-HR"/>
                </w:rPr>
                <w:t>5</w:t>
              </w:r>
              <w:r w:rsidRPr="005203CE">
                <w:rPr>
                  <w:rFonts w:ascii="inherit" w:eastAsia="Times New Roman" w:hAnsi="inherit" w:cs="Times New Roman"/>
                  <w:color w:val="0000FF"/>
                  <w:sz w:val="22"/>
                  <w:szCs w:val="22"/>
                  <w:u w:val="single"/>
                  <w:lang w:eastAsia="hr-HR"/>
                </w:rPr>
                <w:t>)</w:t>
              </w:r>
            </w:hyperlink>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djelomično stabilizirana živa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19 04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vitrificirani otpad i otpad od vitrifikacije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19 04 01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vitrificirani otpad</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04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lebdeći pepeo i ostali otpad od obrade dimnih plinova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04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nevitrificirana čvrsta faza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19 04 04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vodeni tekući otpad od temperiranja vitrificiranog otpada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19 05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od aerobne obrade krutog otpada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19 05 01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nekompostirana frakcija komunalnog i sličnog otpada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19 05 02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nekompostirana frakcija životinjskog i biljnog otpada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19 05 03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kompost koji nije u skladu sa specifikacijom</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19 05 99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19 06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od anaerobne obrade otpada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19 06 03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matičnica od anaerobne obrade komunalnog otpada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19 06 04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proizvod digestije od anaerobne obrade komunalnog otpada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19 06 05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matičnica od anaerobne obrade životinjskog i biljnog otpada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19 06 06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proizvod digestije od anaerobne obrade životinjskog i biljnog otpada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19 06 99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19 07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procjedne vode s odlagališta otpada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07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procjedne vode s odlagališta otpada koje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19 07 03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procjedne vode s odlagališta otpada koje nisu navedene pod 19 07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19 08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iz postrojenja za obradu otpadnih voda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19 08 01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ostaci na sitima/rešetima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19 08 02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iz pjeskolova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19 08 05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obrade komunalnih otpadnih voda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08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zasićene ili istrošene smole iz ionskih izmjenjivača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08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otopine i muljevi od regeneracije ionskih izmjenjivača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08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iz membranskih sustava koji sadržava teške metale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19 08 09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mješavine masti i ulja iz separatora ulja i vode koje sadržavaju samo jestivo ulje i masnoće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08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mješavine masti i ulja iz separatora ulja i vode koje nisu navedene pod 19 08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08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iz biološke obrade industrijskih otpadnih voda koji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19 08 12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iz biološke obrade industrijskih otpadnih voda koji nisu navedeni pod 19 08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08 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iz ostalih obrada industrijskih otpadnih voda koji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19 08 14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iz ostalih obrada industrijskih otpadnih voda koji nisu navedeni pod 19 08 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19 08 99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19 09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od pripreme vode za piće ili vode za industrijske svrhe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19 09 01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kruti otpad od primarne filtracije i prosijavanja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lastRenderedPageBreak/>
              <w:t>19 09 02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bistrenja voda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19 09 03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dekarbonizacije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19 09 04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istrošeni aktivni ugljen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19 09 05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zasićene ili istrošene smole iz ionskih izmjenjivača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19 09 06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otopine i muljevi od regeneracije ionskih izmjenjivača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19 09 99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19 10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od usitnjavanja otpada koji sadržava metale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19 10 01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željeza i čelika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19 10 02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obojenih metala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10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laka frakcija i prašina koje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19 10 04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laka frakcija i prašina koje nisu navedene pod 19 10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10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ostale frakcije koje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19 10 06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ostale frakcije koje nisu navedene pod 19 10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19 11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od regeneracije ulja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11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istrošene gline za filtraciju</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11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kiseli katrani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11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vodeni tekući otpad</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11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pročišćavanja goriva lužinama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11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obrade otpadnih voda na mjestu njihova nastanka koji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19 11 06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od obrade otpadnih voda na mjestu njihova nastanka koji nisu navedeni pod 19 11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11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pročišćavanja dimnih plinova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19 11 99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19 12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od mehaničke obrade otpada (npr. izdvajanja, drobljenja, kompaktiranja, peletiziranja)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19 12 01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papir i karton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19 12 02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željezni metali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19 12 03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obojeni metali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19 12 04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plastika i guma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19 12 05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staklo</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12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drvo koje sadržava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lastRenderedPageBreak/>
              <w:t>19 12 07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drvo koje nije navedeno pod 19 12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19 12 08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tekstil</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19 12 09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minerali (npr. pijesak, kamenje)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19 12 10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zapaljivi otpad (gorivo dobiveno iz otpada)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12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ostali otpad (uključujući mješavine materijala) od mehaničke obrade otpada, koji sadržava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19 12 12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ostali otpad (uključujući mješavine materijala) od mehaničke obrade otpada koji nije naveden pod 19 12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19 13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od sanacije tla i podzemnih voda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13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kruti otpad nastao pri sanaciji tla koji sadržava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19 13 02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kruti otpad nastao pri sanaciji tla koji nije naveden pod 19 13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13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nastali pri sanaciji tla koji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19 13 04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nastali pri sanaciji tla koji nisu navedeni pod 19 13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13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nastali pri sanaciji podzemnih voda koji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19 13 06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nastali pri sanaciji podzemnih voda koji nisu navedeni pod 19 13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13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vodeni tekući otpad i vodeni koncentrati nastali pri sanaciji podzemnih voda, koji sadrže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19 13 08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vodeni tekući otpad i vodeni koncentrati nastali pri sanaciji podzemnih voda, koji nisu navedeni pod 19 13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KOMUNALNI OTPAD (OTPAD IZ DOMAĆINSTVA I SLIČAN OTPAD IZ TRGOVINE, INDUSTRIJE I INSTITUCIJA) UKLJUČUJUĆI I ODVOJENO SAKUPLJENE FRAKCIJE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Cs w:val="24"/>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20 01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odvojeno sakupljene frakcije (osim 15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20 01 01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papir i karton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20 01 02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staklo</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20 01 08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biorazgradivi otpad iz kuhinja i iz kantina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20 01 10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odjeća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20 01 11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tekstil</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 01 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otapala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 01 14*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kiseline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 01 15*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lužine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 01 17*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fotografske kemikalije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lastRenderedPageBreak/>
              <w:t>20 01 19*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pesticidi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 01 21*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fluorescentne cijevi i ostali otpad koji sadržava živu</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A</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 01 23*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odbačena oprema koja sadržava klorofluorougljike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A</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20 01 25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jestiva ulja i masti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 01 26*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ulja i masti koji nisu navedeni pod 20 01 25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 01 27*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boje, tiskarske boje, ljepila i smole, koji sadrže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20 01 28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boje, tiskarske boje, ljepila i smole, koji nisu navedeni pod 20 01 27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 01 29*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deterdženti koji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20 01 30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deterdženti koji nisu navedeni pod 20 01 29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 01 31*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citotoksici i citostatici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20 01 32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lijekovi koji nisu navedeni pod 20 01 31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 01 33*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baterije i akumulatori obuhvaćeni pod 16 06 01, 16 06 02 ili 16 06 03 i nesortirane baterije i akumulatori koji sadržavaju te baterije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20 01 34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baterije i akumulatori, koji nisu navedeni pod 20 01 33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 01 35*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odbačena električna i elektronička oprema koja nije navedena pod 20 01 21 i 20 01 23, koja sadržava opasne komponente (#)</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20 01 36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odbačena električna i elektronička oprema koja nije navedena pod 20 01 21, 20 01 23 i 20 01 35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B</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 01 37*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drvo koje sadržava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20 01 38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drvo koje nije navedeno pod 20 01 37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20 01 39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plastika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20 01 40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metali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20 01 41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čišćenja dimnjaka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20 01 99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ostale frakcije koje nisu specificirane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20 02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vrtni otpad i otpad iz parkova (uključujući i otpad s groblja)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20 02 01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biorazgradivi otpad</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20 02 02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zemlja i kamenje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20 02 03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ostali otpad koji nije biorazgradiv</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20 03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ostali komunalni otpad</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20 03 01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miješani komunalni otpad</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20 03 02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s tržnica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20 03 03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ostaci od čišćenja ulica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20 03 04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muljevi iz septičkih jama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lastRenderedPageBreak/>
              <w:t>20 03 06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nastao čišćenjem kanalizacije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20 03 07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glomazni otpad</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20 03 99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komunalni otpad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ANH</w:t>
            </w:r>
          </w:p>
        </w:tc>
      </w:tr>
      <w:tr w:rsidR="005203CE" w:rsidRPr="005203CE" w:rsidTr="005203CE">
        <w:trPr>
          <w:tblCellSpacing w:w="0" w:type="dxa"/>
        </w:trPr>
        <w:tc>
          <w:tcPr>
            <w:tcW w:w="0" w:type="auto"/>
            <w:gridSpan w:val="3"/>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r>
    </w:tbl>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1.3.    </w:t>
      </w:r>
      <w:r w:rsidRPr="005203CE">
        <w:rPr>
          <w:rFonts w:ascii="inherit" w:eastAsia="Times New Roman" w:hAnsi="inherit" w:cs="Times New Roman"/>
          <w:b/>
          <w:bCs/>
          <w:i/>
          <w:iCs/>
          <w:color w:val="000000"/>
          <w:szCs w:val="24"/>
          <w:lang w:eastAsia="hr-HR"/>
        </w:rPr>
        <w:t>Primjeri razvrstavanja složenih unosa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ovom su poglavlju navedeni dodatne informacije i primjeri kojima se pobliže objašnjavaju pristupi karakterizaciji za problematičnije i složenije unose, posebice ambalažni otpad, otpad od električne i elektroničke opreme (OEEO) te dotrajala vozila (ELV).</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1.3.1.   </w:t>
      </w:r>
      <w:r w:rsidRPr="005203CE">
        <w:rPr>
          <w:rFonts w:ascii="inherit" w:eastAsia="Times New Roman" w:hAnsi="inherit" w:cs="Times New Roman"/>
          <w:b/>
          <w:bCs/>
          <w:i/>
          <w:iCs/>
          <w:color w:val="000000"/>
          <w:szCs w:val="24"/>
          <w:lang w:eastAsia="hr-HR"/>
        </w:rPr>
        <w:t>Ambalažni otpad i sadržaj</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Odvojeno prikupljen ambalažni otpad raspoređuje se u potpoglavlje 15 01. Taj se otpad ne smije razvrstati u potpoglavlje 20 01 jer je iz naslova potpoglavlja 20 01 izričito isključeno potpoglavlje 15 01. U potpoglavlju 15 01 sadržani su sljedeći MNH unosi:</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654"/>
        <w:gridCol w:w="6277"/>
        <w:gridCol w:w="1125"/>
      </w:tblGrid>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15 01 01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ambalaža od papira i kartona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15 01 02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ambalaža od plastike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15 01 03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ambalaža od drva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15 01 04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ambalaža od metala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15 01 05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višeslojna (kompozitna) ambalaža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15 01 06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miješana ambalaža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15 01 07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staklena ambalaža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15 01 09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tekstilna ambalaža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MNH</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Navode se sljedeći MH unosi:</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60"/>
        <w:gridCol w:w="7911"/>
        <w:gridCol w:w="385"/>
      </w:tblGrid>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15 01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ambalaža koja sadržava ostatke opasnih tvari ili je onečišćena opasnim tvarima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15 01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metalna ambalaža koja sadržava opasnu krutu poroznu matricu (npr. azbest), uključujući prazne spremnike pod tlakom</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MH</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Prije donošenja odluke o najprikladnijem unosu za ambalažni otpad potrebno je procijeniti treba li otpad uopće razvrstati kao ambalažni otpad ili bi ga trebalo razvrstati prema sadržaju. Slika 2. u ovom Prilogu temelji se na Smjernicama Ujedinjene Kraljevine za razvrstavanje otpada</w:t>
      </w:r>
      <w:hyperlink r:id="rId78" w:anchor="ntr6-C_2018124HR.01002101-E0006"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6</w:t>
        </w:r>
        <w:r w:rsidRPr="005203CE">
          <w:rPr>
            <w:rFonts w:ascii="inherit" w:eastAsia="Times New Roman" w:hAnsi="inherit" w:cs="Times New Roman"/>
            <w:color w:val="0000FF"/>
            <w:szCs w:val="24"/>
            <w:u w:val="single"/>
            <w:lang w:eastAsia="hr-HR"/>
          </w:rPr>
          <w:t>)</w:t>
        </w:r>
      </w:hyperlink>
      <w:r w:rsidRPr="005203CE">
        <w:rPr>
          <w:rFonts w:ascii="inherit" w:eastAsia="Times New Roman" w:hAnsi="inherit" w:cs="Times New Roman"/>
          <w:color w:val="000000"/>
          <w:szCs w:val="24"/>
          <w:lang w:eastAsia="hr-HR"/>
        </w:rPr>
        <w:t> (dalje u tekstu „Smjernice Ujedinjene Kraljevine”) i prikazuje dijagram toka na kojem se temelji ta odluka. Treba napomenuti da su zbog primjene određenih konvencija i pristupa država članica moguća odstupanja od dijagrama toka prikazanog na slici 2., npr. za miješanu ambalažu iz domaćinstava. Primjerice, prema Smjernicama za razvrstavanje otpada Flandrijske agencije za komunalni otpad</w:t>
      </w:r>
      <w:hyperlink r:id="rId79" w:anchor="ntr7-C_2018124HR.01002101-E0007"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7</w:t>
        </w:r>
        <w:r w:rsidRPr="005203CE">
          <w:rPr>
            <w:rFonts w:ascii="inherit" w:eastAsia="Times New Roman" w:hAnsi="inherit" w:cs="Times New Roman"/>
            <w:color w:val="0000FF"/>
            <w:szCs w:val="24"/>
            <w:u w:val="single"/>
            <w:lang w:eastAsia="hr-HR"/>
          </w:rPr>
          <w:t>)</w:t>
        </w:r>
      </w:hyperlink>
      <w:r w:rsidRPr="005203CE">
        <w:rPr>
          <w:rFonts w:ascii="inherit" w:eastAsia="Times New Roman" w:hAnsi="inherit" w:cs="Times New Roman"/>
          <w:color w:val="000000"/>
          <w:szCs w:val="24"/>
          <w:lang w:eastAsia="hr-HR"/>
        </w:rPr>
        <w:t> (dalje u tekstu „Smjernice agencije OVAM”) kao neopasan se može razvrstati miješani ambalažni otpad koji se pročišćava u ovlaštenom poduzeću i stoga se može pretpostaviti da taj ambalažni otpad ne sadržava opasne ostatke.</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noProof/>
          <w:color w:val="000000"/>
          <w:szCs w:val="24"/>
          <w:lang w:eastAsia="hr-HR"/>
        </w:rPr>
        <w:lastRenderedPageBreak/>
        <w:drawing>
          <wp:inline distT="0" distB="0" distL="0" distR="0">
            <wp:extent cx="6019800" cy="7200900"/>
            <wp:effectExtent l="0" t="0" r="0" b="0"/>
            <wp:docPr id="21"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19800" cy="7200900"/>
                    </a:xfrm>
                    <a:prstGeom prst="rect">
                      <a:avLst/>
                    </a:prstGeom>
                    <a:noFill/>
                    <a:ln>
                      <a:noFill/>
                    </a:ln>
                  </pic:spPr>
                </pic:pic>
              </a:graphicData>
            </a:graphic>
          </wp:inline>
        </w:drawing>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Kako bi se otpad rasporedio u potpoglavlje 15 01, potrebno je utvrditi je li ambalaža/spremnik nominalno prazan (vidjeti korake P1 i P2 na slici 2.). Pojam „nominalno prazan” trebao bi značiti da je sadržaj proizvoda učinkovito uklonjen iz spremnika. To se uklanjanje može izvršiti cijeđenjem ili struganjem. Činjenica da su u ambalažnom otpadu prisutni minimalni ostaci sadržaja ne sprečava razvrstavanje ambalažnog otpada kao „nominalno praznog” i ne onemogućuje njegovo raspoređivanje u potpoglavlje 15 01 ambalažni otpad.</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 xml:space="preserve">Pri odlučivanju o tome je li ambalaža nominalno prazna mogu se upotrebljavati praktični pristupi koji se primjenjuju u pojedinačnim država članicama. Na primjer, u Austriji se </w:t>
      </w:r>
      <w:r w:rsidRPr="005203CE">
        <w:rPr>
          <w:rFonts w:ascii="inherit" w:eastAsia="Times New Roman" w:hAnsi="inherit" w:cs="Times New Roman"/>
          <w:color w:val="000000"/>
          <w:szCs w:val="24"/>
          <w:lang w:eastAsia="hr-HR"/>
        </w:rPr>
        <w:lastRenderedPageBreak/>
        <w:t>„potpunim pražnjenjem” ambalaže smatra pravilno pražnjenje („bez tragova” kao što su preostali prah, talog i kapi; čišćenje četkom, čišćenje lopaticom), osim neizbježnih ostataka, bez primjene dodatnih mjera (kao što je zagrijavanje). U taj pojam nije uključeno čišćenje spremnika. Spremnik se smatra potpuno ispražnjenim ako pri pokušaju ponovnog pražnjenja, primjerice okretanjem spremnika, više ne dolazi do ispuštanja kapljica ili krutih ostataka.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Ako ambalaža sadržava ostatke koje nije moguće ukloniti na uobičajen način (npr. zbog veličine otvora ili prirode materijala), otpad ne bi trebalo razvrstati kao ambalažni otpad, već kao preostali otpadni materijal (npr. napola prazna limenka stvrdnutog laka mogla bi se razvrstati kao 08 01 11*).</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Ako se spremnici otpada peru da bi se uklonio sadržaj, trebalo bi dodatno osigurati da je upotrijebljena metoda koja ne šteti okolišu.</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Ako je ambalaža nominalno prazna, trebalo bi provjeriti je li riječ o metalnoj ambalaži koja sadržava opasnu krutu poroznu matricu (npr. azbest u staroj ambalaži otpornoj na vatru), uključujući prazne spremnike pod tlakom (korak P3 na slici 2.). Takvu bi metalnu ambalažu trebalo rasporediti u oznaku 15 01 11*.</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pogledu koraka P4a i P4b na slici 2. treba napomenuti da ambalaža koja je nominalno prazna, ali i dalje može sadržavati male količine ostataka može biti opasna jer 1. pokazuje opasna svojstva zbog preostalih ostataka ILI jer 2. pokazuje opasna svojstva zbog samog ambalažnog materijala (od kojeg je proizvedena ambalaža) zato što je onečišćena opasnim tvarima iz postupka proizvodnje (npr. sredstvima za impregnaciju, stabilizatorima, usporivačima gorenja, plastifikatorima, pigmentima) ili tijekom upotrebe.</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skladu s tim potrebno je u koraku P4a procijeniti pokazuje li otpad opasna svojstva zbog preostalih ostataka, a u koraku 4b pokazuje li sâm ambalažni materijal opasna svojstva. Izračuni kojima se utvrđuje jesu li premašeni pragovi ograničenja iz Priloga III. ODO-u utvrđeni u skladu sa šiframa oznaka upozorenja trebali bi se temeljiti na masi otpada pri razvrstavanju otpada (odnosno, uspoređuje se količina sadržanih opasnih tvari s ukupnom masom nominalno prazne ambalaže i preostalih ostataka). Ako se ostacima ili samom ambalažnom materijalu mogu pripisati opasna svojstva, primjenjuje se unos 15 01 10*. Ambalažu je u suprotnom potrebno rasporediti u neopasni unos u skladu s ambalažnim materijalom (oznake od 15 01 01 do 15 01 09)</w:t>
      </w:r>
      <w:hyperlink r:id="rId81" w:anchor="ntr8-C_2018124HR.01002101-E0008"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8</w:t>
        </w:r>
        <w:r w:rsidRPr="005203CE">
          <w:rPr>
            <w:rFonts w:ascii="inherit" w:eastAsia="Times New Roman" w:hAnsi="inherit" w:cs="Times New Roman"/>
            <w:color w:val="0000FF"/>
            <w:szCs w:val="24"/>
            <w:u w:val="single"/>
            <w:lang w:eastAsia="hr-HR"/>
          </w:rPr>
          <w:t>)</w:t>
        </w:r>
      </w:hyperlink>
      <w:r w:rsidRPr="005203CE">
        <w:rPr>
          <w:rFonts w:ascii="inherit" w:eastAsia="Times New Roman" w:hAnsi="inherit" w:cs="Times New Roman"/>
          <w:color w:val="000000"/>
          <w:szCs w:val="24"/>
          <w:lang w:eastAsia="hr-HR"/>
        </w:rPr>
        <w:t>.</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1.3.2.   </w:t>
      </w:r>
      <w:r w:rsidRPr="005203CE">
        <w:rPr>
          <w:rFonts w:ascii="inherit" w:eastAsia="Times New Roman" w:hAnsi="inherit" w:cs="Times New Roman"/>
          <w:b/>
          <w:bCs/>
          <w:i/>
          <w:iCs/>
          <w:color w:val="000000"/>
          <w:szCs w:val="24"/>
          <w:lang w:eastAsia="hr-HR"/>
        </w:rPr>
        <w:t>Otpad od električne i elektroničke opreme (OEEO)</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Na OEEO odnose se dva poglavlja Popisa otpada:</w:t>
      </w: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16</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otpad koji nije specificiran drugdje na popisu</w:t>
            </w:r>
          </w:p>
        </w:tc>
      </w:tr>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20</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komunalni otpad (otpad iz domaćinstva i sličan otpad iz trgovine, industrije i institucija) uključujući i odvojeno sakupljene frakcije.</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skladu sa strukturom opisanom u odjeljku 1.1. ovog Priloga, poglavlje 20 Popisa otpada ima prednost pred poglavljem 16. U potpoglavlju 20 01 zasebno prikupljen OEEO iz komunalnog otpada može se rasporediti u sljedeće opasne unose:</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40"/>
        <w:gridCol w:w="7931"/>
        <w:gridCol w:w="385"/>
      </w:tblGrid>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 01 21*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fluorescentne cijevi i ostali otpad koji sadržava živu</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 01 23*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odbačena oprema koja sadržava klorofluorougljike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 01 35*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odbačena električna i elektronička oprema koja nije navedena pod 20 01 21 i 20 01 23, koja sadržava opasne komponente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MH</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lastRenderedPageBreak/>
        <w:t>MNH unosi su sljedeći:</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46"/>
        <w:gridCol w:w="7766"/>
        <w:gridCol w:w="544"/>
      </w:tblGrid>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20 01 36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odbačena električna i elektronička oprema koja nije navedena pod 20 01 21, 20 01 23 i 20 01 35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MNH</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Ako OEEO dolazi iz trgovine/industrije i ne može ga se smatrati „sličnim otpadom iz trgovine, industrije i institucija”, ne može se rasporediti u unos u poglavlju 20. Umjesto toga, dostupni su sljedeći MH unosi u poglavlju 16:</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831"/>
        <w:gridCol w:w="7840"/>
        <w:gridCol w:w="385"/>
      </w:tblGrid>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02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transformatori i kondenzatori koji sadržavaju PCB-ove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02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odbačena oprema koja sadržava PCB-ove ili je onečišćena njima, a nije navedena pod 16 02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02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odbačena oprema koja sadržava klorofluorougljike, HCFC, HFC</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02 12*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odbačena oprema koja sadržava slobodni azbest</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02 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odbačena oprema koja sadržava opasne komponente koja nije navedena pod 16 02 09* do 16 02 12*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02 15*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opasne komponente izvađene iz odbačene opreme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MH</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MNH unosi su sljedeći:</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898"/>
        <w:gridCol w:w="7547"/>
        <w:gridCol w:w="611"/>
      </w:tblGrid>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16 02 14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odbačena oprema koja nije navedena pod 16 02 09 do 16 02 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16 02 16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komponente izvađene iz odbačene opreme koje nisu navedene pod 16 02 15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MNH</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Ako na Popisu otpada postoje konkretniji unosi za karakterizaciju određenih frakcija OEEO-a, trebalo bi ih upotrijebiti za razvrstavanje, na primjer baterije i akumulatori iz OEEO-a mogu se rasporediti u potpoglavlje 16 06 (baterije i akumulatori). Nadalje, za frakcije nastale u postupku obrade OEEO-a morat će se upotrijebiti i drugi unosi koji ne spadaju u poglavlja 16 i 20 Popisa otpada</w:t>
      </w:r>
      <w:hyperlink r:id="rId82" w:anchor="ntr9-C_2018124HR.01002101-E0009"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9</w:t>
        </w:r>
        <w:r w:rsidRPr="005203CE">
          <w:rPr>
            <w:rFonts w:ascii="inherit" w:eastAsia="Times New Roman" w:hAnsi="inherit" w:cs="Times New Roman"/>
            <w:color w:val="0000FF"/>
            <w:szCs w:val="24"/>
            <w:u w:val="single"/>
            <w:lang w:eastAsia="hr-HR"/>
          </w:rPr>
          <w:t>)</w:t>
        </w:r>
      </w:hyperlink>
      <w:r w:rsidRPr="005203CE">
        <w:rPr>
          <w:rFonts w:ascii="inherit" w:eastAsia="Times New Roman" w:hAnsi="inherit" w:cs="Times New Roman"/>
          <w:color w:val="000000"/>
          <w:szCs w:val="24"/>
          <w:lang w:eastAsia="hr-HR"/>
        </w:rPr>
        <w:t> (slika 3.).</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noProof/>
          <w:color w:val="000000"/>
          <w:szCs w:val="24"/>
          <w:lang w:eastAsia="hr-HR"/>
        </w:rPr>
        <w:lastRenderedPageBreak/>
        <w:drawing>
          <wp:inline distT="0" distB="0" distL="0" distR="0">
            <wp:extent cx="6191250" cy="5514975"/>
            <wp:effectExtent l="0" t="0" r="0" b="9525"/>
            <wp:docPr id="20"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91250" cy="5514975"/>
                    </a:xfrm>
                    <a:prstGeom prst="rect">
                      <a:avLst/>
                    </a:prstGeom>
                    <a:noFill/>
                    <a:ln>
                      <a:noFill/>
                    </a:ln>
                  </pic:spPr>
                </pic:pic>
              </a:graphicData>
            </a:graphic>
          </wp:inline>
        </w:drawing>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Treba napomenuti da se granične vrijednosti koje se temelje na šiframa oznaka upozorenja odnose na stanje otpada u trenutku njegova razvrstavanja (odnosno na stanje u kojem ga se obično prevozi i u kojem se naknadno njime gospodari). U slučaju OEEO-a to može značiti da pri razvrstavanju cijelih uređaja kao osnovu za primijenjene granične vrijednosti koncentracije opasne tvari treba uzeti masu uređaja. Ako je potrebno razvrstati odvojene frakcije (npr. nakon selektivne obrade), kao osnovu za primijenjene granične vrijednosti koncentracije treba uzeti masu odvojenih frakcija.</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5203CE" w:rsidRPr="005203CE" w:rsidTr="005203C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203CE" w:rsidRPr="005203CE" w:rsidRDefault="005203CE" w:rsidP="005203CE">
            <w:pPr>
              <w:spacing w:before="240" w:after="120" w:line="240" w:lineRule="auto"/>
              <w:jc w:val="both"/>
              <w:rPr>
                <w:rFonts w:ascii="inherit" w:eastAsia="Times New Roman" w:hAnsi="inherit" w:cs="Times New Roman"/>
                <w:b/>
                <w:bCs/>
                <w:szCs w:val="24"/>
                <w:lang w:eastAsia="hr-HR"/>
              </w:rPr>
            </w:pPr>
            <w:r w:rsidRPr="005203CE">
              <w:rPr>
                <w:rFonts w:ascii="inherit" w:eastAsia="Times New Roman" w:hAnsi="inherit" w:cs="Times New Roman"/>
                <w:b/>
                <w:bCs/>
                <w:szCs w:val="24"/>
                <w:lang w:eastAsia="hr-HR"/>
              </w:rPr>
              <w:t>Označivanje OEEO-a i baterija te vođenje evidencije o njima</w:t>
            </w:r>
          </w:p>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Treba napomenuti da se obveze označivanja i vođenja evidencije koje proizlaze iz ODO-a ne primjenjuju na odvojene frakcije opasnog otpada nastalog u domaćinstvima sve dok su prihvatljive za skupljanje, zbrinjavanje ili oporabu koje provode određene ustanove ili poduzeća koji za to imaju dozvolu ili su registrirani u skladu s ODO-om. Budući da prikupna mjesta utvrđena Direktivom o OEEO-u ili Direktivom o baterijama u skladu s tim dvjema direktivama i pod uvjetima iz njih ne podliježu zahtjevima u pogledu registracije ili pribavljanja dozvola, te se obveze ne primjenjuju na ta prikupna mjesta, već tek nakon što se OEEO ili otpadne baterije prihvate za skupljanje, zbrinjavanje ili oporabu.</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866"/>
        <w:gridCol w:w="8206"/>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i/>
                <w:iCs/>
                <w:szCs w:val="24"/>
                <w:lang w:eastAsia="hr-HR"/>
              </w:rPr>
              <w:t>Okvir 2.:</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b/>
                <w:bCs/>
                <w:szCs w:val="24"/>
                <w:lang w:eastAsia="hr-HR"/>
              </w:rPr>
              <w:t>Zahtjevi u pogledu označivanja OEEO-a i baterija te vođenja evidencije o njima</w:t>
            </w:r>
          </w:p>
        </w:tc>
      </w:tr>
    </w:tbl>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1.3.3.   </w:t>
      </w:r>
      <w:r w:rsidRPr="005203CE">
        <w:rPr>
          <w:rFonts w:ascii="inherit" w:eastAsia="Times New Roman" w:hAnsi="inherit" w:cs="Times New Roman"/>
          <w:b/>
          <w:bCs/>
          <w:i/>
          <w:iCs/>
          <w:color w:val="000000"/>
          <w:szCs w:val="24"/>
          <w:lang w:eastAsia="hr-HR"/>
        </w:rPr>
        <w:t>Dotrajala vozila (ELV)</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Dotrajala vozila obuhvaćena su poglavljem 16 Popisa otpada, a posebice potpoglavljem 16 01. Za cijela su vozila relevantna dva unosa:</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044"/>
        <w:gridCol w:w="7430"/>
        <w:gridCol w:w="582"/>
      </w:tblGrid>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01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dotrajala vozila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16 01 06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dotrajala vozila koja ne sadržavaju tekućine ni druge opasne komponente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ANH</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Postupci obrade u postrojenju za dotrajala vozila opisani su na slici 4. Ovisno o koracima obrade frakcije koje potječu izravno iz dotrajalog vozila mogu se rasporediti u različite unose na Popisu otpada (ne iz potpoglavlja 16 01).</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noProof/>
          <w:color w:val="000000"/>
          <w:szCs w:val="24"/>
          <w:lang w:eastAsia="hr-HR"/>
        </w:rPr>
        <w:drawing>
          <wp:inline distT="0" distB="0" distL="0" distR="0">
            <wp:extent cx="5772150" cy="6305550"/>
            <wp:effectExtent l="0" t="0" r="0" b="0"/>
            <wp:docPr id="19"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72150" cy="6305550"/>
                    </a:xfrm>
                    <a:prstGeom prst="rect">
                      <a:avLst/>
                    </a:prstGeom>
                    <a:noFill/>
                    <a:ln>
                      <a:noFill/>
                    </a:ln>
                  </pic:spPr>
                </pic:pic>
              </a:graphicData>
            </a:graphic>
          </wp:inline>
        </w:drawing>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lastRenderedPageBreak/>
        <w:t>1.4.    </w:t>
      </w:r>
      <w:r w:rsidRPr="005203CE">
        <w:rPr>
          <w:rFonts w:ascii="inherit" w:eastAsia="Times New Roman" w:hAnsi="inherit" w:cs="Times New Roman"/>
          <w:b/>
          <w:bCs/>
          <w:i/>
          <w:iCs/>
          <w:color w:val="000000"/>
          <w:szCs w:val="24"/>
          <w:lang w:eastAsia="hr-HR"/>
        </w:rPr>
        <w:t>Primjeri procjene posebnih sastojaka određenih vrsta otpada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ovom se poglavlju pružaju dodatne informacije i navode primjeri procjene posebnih sastojaka određenih vrsta otpada. U nastavku se istražuju određene vrste otpada ili onečišćujućih tvari te se objašnjavaju poteškoće na koje se nailazi pri razvrstavanju. Predstavljeni su glavni unosi s Popisa otpada koji se upotrebljavaju za razvrstavanje. Treba napomenuti da opisani primjenjivi unosi nisu isključivi.</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Moguće je i upućivanje na smjernice na razini država članica koje mogu sadržavati dodatne primjere, npr. Smjernice Ujedinjene Kraljevine i Smjernice agencije OVAM</w:t>
      </w:r>
      <w:hyperlink r:id="rId85" w:anchor="ntr10-C_2018124HR.01002101-E0010"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10</w:t>
        </w:r>
        <w:r w:rsidRPr="005203CE">
          <w:rPr>
            <w:rFonts w:ascii="inherit" w:eastAsia="Times New Roman" w:hAnsi="inherit" w:cs="Times New Roman"/>
            <w:color w:val="0000FF"/>
            <w:szCs w:val="24"/>
            <w:u w:val="single"/>
            <w:lang w:eastAsia="hr-HR"/>
          </w:rPr>
          <w:t>)</w:t>
        </w:r>
      </w:hyperlink>
      <w:r w:rsidRPr="005203CE">
        <w:rPr>
          <w:rFonts w:ascii="inherit" w:eastAsia="Times New Roman" w:hAnsi="inherit" w:cs="Times New Roman"/>
          <w:color w:val="000000"/>
          <w:szCs w:val="24"/>
          <w:lang w:eastAsia="hr-HR"/>
        </w:rPr>
        <w:t> u kojima su predstavljeni dodatni primjeri za otpadna ulja i onečišćena tla.</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1.4.1.   </w:t>
      </w:r>
      <w:r w:rsidRPr="005203CE">
        <w:rPr>
          <w:rFonts w:ascii="inherit" w:eastAsia="Times New Roman" w:hAnsi="inherit" w:cs="Times New Roman"/>
          <w:b/>
          <w:bCs/>
          <w:i/>
          <w:iCs/>
          <w:color w:val="000000"/>
          <w:szCs w:val="24"/>
          <w:lang w:eastAsia="hr-HR"/>
        </w:rPr>
        <w:t>Organski sastojci i posebni kemijski spojevi</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sljedećem su primjeru navedene opće smjernice za razvrstavanje otpada koji sadržava organske sastojke i posebne kemijske spojeve kao što su PAH (policiklički aromatski ugljikovodici), BTEX (benzen, toluen, etil benzen i ksilen) i drugi ugljikovodici.</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Opće informacije</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Policiklički aromatski ugljikovodici (PAH-ovi) tvari su (čiji sastojci, primjerice, mogu biti: acenaften, antracen, fluoren, piren itd.) koje se često pojavljuju u skupinama od dvije ili više.</w:t>
      </w:r>
      <w:hyperlink r:id="rId86" w:anchor="ntr11-C_2018124HR.01002101-E0011"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11</w:t>
        </w:r>
        <w:r w:rsidRPr="005203CE">
          <w:rPr>
            <w:rFonts w:ascii="inherit" w:eastAsia="Times New Roman" w:hAnsi="inherit" w:cs="Times New Roman"/>
            <w:color w:val="0000FF"/>
            <w:szCs w:val="24"/>
            <w:u w:val="single"/>
            <w:lang w:eastAsia="hr-HR"/>
          </w:rPr>
          <w:t>)</w:t>
        </w:r>
      </w:hyperlink>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BTEX (akronim za benzen, toluen, etilbenzen i ksilen) je skupina povezanih hlapljivih organskih spojeva.</w:t>
      </w:r>
      <w:hyperlink r:id="rId87" w:anchor="ntr12-C_2018124HR.01002101-E0012"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12</w:t>
        </w:r>
        <w:r w:rsidRPr="005203CE">
          <w:rPr>
            <w:rFonts w:ascii="inherit" w:eastAsia="Times New Roman" w:hAnsi="inherit" w:cs="Times New Roman"/>
            <w:color w:val="0000FF"/>
            <w:szCs w:val="24"/>
            <w:u w:val="single"/>
            <w:lang w:eastAsia="hr-HR"/>
          </w:rPr>
          <w:t>)</w:t>
        </w:r>
      </w:hyperlink>
      <w:r w:rsidRPr="005203CE">
        <w:rPr>
          <w:rFonts w:ascii="inherit" w:eastAsia="Times New Roman" w:hAnsi="inherit" w:cs="Times New Roman"/>
          <w:color w:val="000000"/>
          <w:szCs w:val="24"/>
          <w:lang w:eastAsia="hr-HR"/>
        </w:rPr>
        <w:t> U nekim se definicijama iz literature upućuje samo na BTX, koji ne uključuje etilbenzen.</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Ugljikovodici su spojevi vodika i ugljika u različitim kombinacijama koji se pojavljuju u naftnim proizvodima i prirodnom plinu. Neki su ugljikovodici važni onečišćivači zraka, neki mogu biti karcinogeni, a neki pridonose nastanku fotokemijskog smoga.</w:t>
      </w:r>
      <w:hyperlink r:id="rId88" w:anchor="ntr13-C_2018124HR.01002101-E0013"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13</w:t>
        </w:r>
        <w:r w:rsidRPr="005203CE">
          <w:rPr>
            <w:rFonts w:ascii="inherit" w:eastAsia="Times New Roman" w:hAnsi="inherit" w:cs="Times New Roman"/>
            <w:color w:val="0000FF"/>
            <w:szCs w:val="24"/>
            <w:u w:val="single"/>
            <w:lang w:eastAsia="hr-HR"/>
          </w:rPr>
          <w:t>)</w:t>
        </w:r>
      </w:hyperlink>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Glavni izvor</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PAH-ovi nastaju kad se proizvodi kao što su ugljen, ulje, plin i otpad spaljuju, ali postupak izgaranja nije još dovršen. Neki su od primjera pare iz ispušnog sustava vozila, postrojenja za proizvodnju ugljena ili drugih postrojenja koja spaljuju ugljen, naftu, ulje ili drvo. Većina se PAH-ova upotrebljava za istraživanja. Međutim, neki se PAH-ovi upotrebljavaju za proizvodnju boja, plastike i pesticida, a neki se upotrebljavaju u lijekovima.</w:t>
      </w:r>
      <w:hyperlink r:id="rId89" w:anchor="ntr14-C_2018124HR.01002101-E0014"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14</w:t>
        </w:r>
        <w:r w:rsidRPr="005203CE">
          <w:rPr>
            <w:rFonts w:ascii="inherit" w:eastAsia="Times New Roman" w:hAnsi="inherit" w:cs="Times New Roman"/>
            <w:color w:val="0000FF"/>
            <w:szCs w:val="24"/>
            <w:u w:val="single"/>
            <w:lang w:eastAsia="hr-HR"/>
          </w:rPr>
          <w:t>)</w:t>
        </w:r>
      </w:hyperlink>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BTEX čine kemikalije koje se pojavljuju u prirodi, a uglavnom se nalaze u naftnim derivatima kao što su benzini i lake frakcije nafte. BTEX može dospjeti u okoliš iz podzemnih spremnika koji puštaju, prepunjenih spremnika, izlijevanjem goriva pri automobilskim nesrećama te s odlagališta.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Benzen se nalazi u benzinu i proizvodima kao što su sintetička guma, plastika, najlon, insekticidi, boje, bojila, smole ljepila, vosak za namještaj, deterdženti i kozmetika. Nalazi se i u ispušnim plinovima automobila, industrijskim emisijama i dimu cigareta. Toluen se prirodno nalazi u brojnim naftnim proizvodima. Upotrebljava se kao otapalo za boje, premaze, gume, ulja i smole. Ksileni se upotrebljavaju u benzinu te kao otapalo u tisku te industrijama gume i kože.</w:t>
      </w:r>
      <w:hyperlink r:id="rId90" w:anchor="ntr15-C_2018124HR.01002101-E0015"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15</w:t>
        </w:r>
        <w:r w:rsidRPr="005203CE">
          <w:rPr>
            <w:rFonts w:ascii="inherit" w:eastAsia="Times New Roman" w:hAnsi="inherit" w:cs="Times New Roman"/>
            <w:color w:val="0000FF"/>
            <w:szCs w:val="24"/>
            <w:u w:val="single"/>
            <w:lang w:eastAsia="hr-HR"/>
          </w:rPr>
          <w:t>)</w:t>
        </w:r>
      </w:hyperlink>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Otpad koji sadržava ugljikovodike potječe s industrijskih lokacija i iz postrojenja za izgaranje, motornih vozila i druge opreme na benzinski pogon, kao što su zrakoplovi ili građevinska oprema.</w:t>
      </w:r>
      <w:hyperlink r:id="rId91" w:anchor="ntr16-C_2018124HR.01002101-E0016"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16</w:t>
        </w:r>
        <w:r w:rsidRPr="005203CE">
          <w:rPr>
            <w:rFonts w:ascii="inherit" w:eastAsia="Times New Roman" w:hAnsi="inherit" w:cs="Times New Roman"/>
            <w:color w:val="0000FF"/>
            <w:szCs w:val="24"/>
            <w:u w:val="single"/>
            <w:lang w:eastAsia="hr-HR"/>
          </w:rPr>
          <w:t>)</w:t>
        </w:r>
      </w:hyperlink>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Aspekti koje treba razmotriti pri razvrstavanju otpada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lastRenderedPageBreak/>
        <w:t>U tablici 4. navedene su šifre oznaka upozorenja, razred opasnosti i šifre kategorija za benzen, toluen, etilbenzen i ksilene.</w:t>
      </w:r>
    </w:p>
    <w:p w:rsidR="005203CE" w:rsidRPr="005203CE" w:rsidRDefault="005203CE" w:rsidP="005203CE">
      <w:pPr>
        <w:spacing w:before="120" w:after="120" w:line="240" w:lineRule="auto"/>
        <w:jc w:val="center"/>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Tablica 4.</w:t>
      </w:r>
    </w:p>
    <w:p w:rsidR="005203CE" w:rsidRPr="005203CE" w:rsidRDefault="005203CE" w:rsidP="005203CE">
      <w:pPr>
        <w:spacing w:before="120" w:after="120" w:line="240" w:lineRule="auto"/>
        <w:jc w:val="center"/>
        <w:rPr>
          <w:rFonts w:ascii="inherit" w:eastAsia="Times New Roman" w:hAnsi="inherit" w:cs="Times New Roman"/>
          <w:color w:val="000000"/>
          <w:szCs w:val="24"/>
          <w:lang w:eastAsia="hr-HR"/>
        </w:rPr>
      </w:pPr>
      <w:r w:rsidRPr="005203CE">
        <w:rPr>
          <w:rFonts w:ascii="inherit" w:eastAsia="Times New Roman" w:hAnsi="inherit" w:cs="Times New Roman"/>
          <w:b/>
          <w:bCs/>
          <w:color w:val="000000"/>
          <w:szCs w:val="24"/>
          <w:lang w:eastAsia="hr-HR"/>
        </w:rPr>
        <w:t>Šifre oznaka upozorenja, razredi opasnosti i šifre kategorija za BTEX u skladu s tablicom 3. u dijelu 3. Priloga VI. Uredbi CLP</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798"/>
        <w:gridCol w:w="1071"/>
        <w:gridCol w:w="2380"/>
        <w:gridCol w:w="2807"/>
      </w:tblGrid>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Međunarodno kemijsko ime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CAS br.</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Šifre oznaka upozorenja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Razredi opasnosti i šifre kategorija</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Benzen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71-43-2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H225</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H350</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H340</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H372 **</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H304</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H319</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H315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Zapalj. tek. 2</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Karc. 1A</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Muta. 1B</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TCOP 1</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Aspir. toks. 1</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Nadraž. oka 2</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Nadraž. koža 2</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Toluen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108-88-3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H225</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H361d ***</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H304</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H373 **</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H315</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H336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Zapalj. tek. 2</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Repr. 2</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Aspir. toks. 1</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TCOP 2 *</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Nadraž. koža 2</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TCOJ 3</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Etilbenzen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100-41-4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H225</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H304</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H332</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H373 (organi sluha)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Zapalj. tek. 2</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Aspir. toks. 1</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Akutna toks. 4 *</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TCOP 2</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i/>
                <w:iCs/>
                <w:sz w:val="22"/>
                <w:szCs w:val="22"/>
                <w:lang w:eastAsia="hr-HR"/>
              </w:rPr>
              <w:t>o</w:t>
            </w:r>
            <w:r w:rsidRPr="005203CE">
              <w:rPr>
                <w:rFonts w:ascii="inherit" w:eastAsia="Times New Roman" w:hAnsi="inherit" w:cs="Times New Roman"/>
                <w:sz w:val="22"/>
                <w:szCs w:val="22"/>
                <w:lang w:eastAsia="hr-HR"/>
              </w:rPr>
              <w:t>-ksilen</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i/>
                <w:iCs/>
                <w:sz w:val="22"/>
                <w:szCs w:val="22"/>
                <w:lang w:eastAsia="hr-HR"/>
              </w:rPr>
              <w:t>p</w:t>
            </w:r>
            <w:r w:rsidRPr="005203CE">
              <w:rPr>
                <w:rFonts w:ascii="inherit" w:eastAsia="Times New Roman" w:hAnsi="inherit" w:cs="Times New Roman"/>
                <w:sz w:val="22"/>
                <w:szCs w:val="22"/>
                <w:lang w:eastAsia="hr-HR"/>
              </w:rPr>
              <w:t>-ksilen</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i/>
                <w:iCs/>
                <w:sz w:val="22"/>
                <w:szCs w:val="22"/>
                <w:lang w:eastAsia="hr-HR"/>
              </w:rPr>
              <w:t>m</w:t>
            </w:r>
            <w:r w:rsidRPr="005203CE">
              <w:rPr>
                <w:rFonts w:ascii="inherit" w:eastAsia="Times New Roman" w:hAnsi="inherit" w:cs="Times New Roman"/>
                <w:sz w:val="22"/>
                <w:szCs w:val="22"/>
                <w:lang w:eastAsia="hr-HR"/>
              </w:rPr>
              <w:t>-ksilen</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Ksilen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95-47-6</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106-42-3</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108-38-3</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1330-20-7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H226</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H332</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H312</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H315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Zapalj. tek. 3</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Akutna toks. 4 *</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Akutna toks. 4 *</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Nadraž. koža 2</w:t>
            </w:r>
          </w:p>
        </w:tc>
      </w:tr>
      <w:tr w:rsidR="005203CE" w:rsidRPr="005203CE" w:rsidTr="005203CE">
        <w:trPr>
          <w:tblCellSpacing w:w="0" w:type="dxa"/>
        </w:trPr>
        <w:tc>
          <w:tcPr>
            <w:tcW w:w="0" w:type="auto"/>
            <w:gridSpan w:val="4"/>
            <w:vAlign w:val="center"/>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U skladu s tablicom 3. Uredbe CLP zvjezdicom (*) je označeno minimalno razvrstavanje. Razvrstavanje je moguće dodatno poboljšati na temelju novih informacija. Dvije zvjezdice (**) znače da informacije o putu izlaganja nisu uvjerljive. Tri zvjezdice (***) znače da su razvrstavanja prenesena samo za učinke koji su razvrstani u skladu s Direktivom 67/548/EEZ da se ne bi izgubile informacije iz usklađenih razvrstavanja za učinke na plodnost i razvoj iz te Direktive.</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Kad je riječ o organskim spojevima, u praktičnim se analizama otpada često primjenjuju sumarni parametri kao što su PAH-ovi, BTEX i ugljikovodici (potonji se nekad navode kao „mineralna ulja” ili ukupni naftni ugljikovodici (TPH)). Prema Uredbi CLP oni se ne smatraju skupnim unosima koji bi se mogli razvrstati.</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 xml:space="preserve">U Popisu otpada navodi se da se, „kada je to prikladno, pri utvrđivanju opasnih svojstava otpada mogu uzeti u obzir sljedeće napomene iz Priloga VI. Uredbi (EZ) br. 1272/2008: 1.1.3.1. Napomene u vezi s identifikacijom, razvrstavanjem i označivanjem tvari: Napomene B, D, F, J, L, M, P, Q, R, i U.” U tom su pogledu relevantne napomene M i L. Stoga se benzo[a]piren može upotrijebiti kao spoj koji služi kao marker za označavanje karcinogenosti PAH-ova za </w:t>
      </w:r>
      <w:r w:rsidRPr="005203CE">
        <w:rPr>
          <w:rFonts w:ascii="inherit" w:eastAsia="Times New Roman" w:hAnsi="inherit" w:cs="Times New Roman"/>
          <w:color w:val="000000"/>
          <w:szCs w:val="24"/>
          <w:lang w:eastAsia="hr-HR"/>
        </w:rPr>
        <w:lastRenderedPageBreak/>
        <w:t>određene unose ugljenog katrana. Šifre oznaka upozorenja, razredi opasnosti i šifre kategorija za benzo[</w:t>
      </w:r>
      <w:r w:rsidRPr="005203CE">
        <w:rPr>
          <w:rFonts w:ascii="inherit" w:eastAsia="Times New Roman" w:hAnsi="inherit" w:cs="Times New Roman"/>
          <w:i/>
          <w:iCs/>
          <w:color w:val="000000"/>
          <w:szCs w:val="24"/>
          <w:lang w:eastAsia="hr-HR"/>
        </w:rPr>
        <w:t>a</w:t>
      </w:r>
      <w:r w:rsidRPr="005203CE">
        <w:rPr>
          <w:rFonts w:ascii="inherit" w:eastAsia="Times New Roman" w:hAnsi="inherit" w:cs="Times New Roman"/>
          <w:color w:val="000000"/>
          <w:szCs w:val="24"/>
          <w:lang w:eastAsia="hr-HR"/>
        </w:rPr>
        <w:t>]piren navedeni su u tablici 5. Više informacija o upotrebi PAH-ova i benzo[</w:t>
      </w:r>
      <w:r w:rsidRPr="005203CE">
        <w:rPr>
          <w:rFonts w:ascii="inherit" w:eastAsia="Times New Roman" w:hAnsi="inherit" w:cs="Times New Roman"/>
          <w:i/>
          <w:iCs/>
          <w:color w:val="000000"/>
          <w:szCs w:val="24"/>
          <w:lang w:eastAsia="hr-HR"/>
        </w:rPr>
        <w:t>a</w:t>
      </w:r>
      <w:r w:rsidRPr="005203CE">
        <w:rPr>
          <w:rFonts w:ascii="inherit" w:eastAsia="Times New Roman" w:hAnsi="inherit" w:cs="Times New Roman"/>
          <w:color w:val="000000"/>
          <w:szCs w:val="24"/>
          <w:lang w:eastAsia="hr-HR"/>
        </w:rPr>
        <w:t>]pirena na primjeru ugljenog katrana navedeno je u odjeljku 1.4.5. u nastavku.</w:t>
      </w:r>
    </w:p>
    <w:p w:rsidR="005203CE" w:rsidRPr="005203CE" w:rsidRDefault="005203CE" w:rsidP="005203CE">
      <w:pPr>
        <w:spacing w:before="120" w:after="120" w:line="240" w:lineRule="auto"/>
        <w:jc w:val="center"/>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Tablica 5.</w:t>
      </w:r>
    </w:p>
    <w:p w:rsidR="005203CE" w:rsidRPr="005203CE" w:rsidRDefault="005203CE" w:rsidP="005203CE">
      <w:pPr>
        <w:spacing w:before="120" w:after="120" w:line="240" w:lineRule="auto"/>
        <w:jc w:val="center"/>
        <w:rPr>
          <w:rFonts w:ascii="inherit" w:eastAsia="Times New Roman" w:hAnsi="inherit" w:cs="Times New Roman"/>
          <w:color w:val="000000"/>
          <w:szCs w:val="24"/>
          <w:lang w:eastAsia="hr-HR"/>
        </w:rPr>
      </w:pPr>
      <w:r w:rsidRPr="005203CE">
        <w:rPr>
          <w:rFonts w:ascii="inherit" w:eastAsia="Times New Roman" w:hAnsi="inherit" w:cs="Times New Roman"/>
          <w:b/>
          <w:bCs/>
          <w:color w:val="000000"/>
          <w:szCs w:val="24"/>
          <w:lang w:eastAsia="hr-HR"/>
        </w:rPr>
        <w:t>Šifre oznaka upozorenja, razredi opasnosti i šifre kategorija za benzo[</w:t>
      </w:r>
      <w:r w:rsidRPr="005203CE">
        <w:rPr>
          <w:rFonts w:ascii="inherit" w:eastAsia="Times New Roman" w:hAnsi="inherit" w:cs="Times New Roman"/>
          <w:b/>
          <w:bCs/>
          <w:i/>
          <w:iCs/>
          <w:color w:val="000000"/>
          <w:szCs w:val="24"/>
          <w:lang w:eastAsia="hr-HR"/>
        </w:rPr>
        <w:t>a</w:t>
      </w:r>
      <w:r w:rsidRPr="005203CE">
        <w:rPr>
          <w:rFonts w:ascii="inherit" w:eastAsia="Times New Roman" w:hAnsi="inherit" w:cs="Times New Roman"/>
          <w:b/>
          <w:bCs/>
          <w:color w:val="000000"/>
          <w:szCs w:val="24"/>
          <w:lang w:eastAsia="hr-HR"/>
        </w:rPr>
        <w:t>]piren u skladu s tablicom 3. u dijelu 3. Priloga VI. Uredbi CLP</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785"/>
        <w:gridCol w:w="972"/>
        <w:gridCol w:w="2009"/>
        <w:gridCol w:w="3290"/>
      </w:tblGrid>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Međunarodno kemijsko ime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CAS br.</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Oznake upozorenja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Razred opasnosti i šifre kategorija</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Benzo[</w:t>
            </w:r>
            <w:r w:rsidRPr="005203CE">
              <w:rPr>
                <w:rFonts w:ascii="inherit" w:eastAsia="Times New Roman" w:hAnsi="inherit" w:cs="Times New Roman"/>
                <w:i/>
                <w:iCs/>
                <w:sz w:val="22"/>
                <w:szCs w:val="22"/>
                <w:lang w:eastAsia="hr-HR"/>
              </w:rPr>
              <w:t>a</w:t>
            </w:r>
            <w:r w:rsidRPr="005203CE">
              <w:rPr>
                <w:rFonts w:ascii="inherit" w:eastAsia="Times New Roman" w:hAnsi="inherit" w:cs="Times New Roman"/>
                <w:sz w:val="22"/>
                <w:szCs w:val="22"/>
                <w:lang w:eastAsia="hr-HR"/>
              </w:rPr>
              <w:t>]piren</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Benzo[</w:t>
            </w:r>
            <w:r w:rsidRPr="005203CE">
              <w:rPr>
                <w:rFonts w:ascii="inherit" w:eastAsia="Times New Roman" w:hAnsi="inherit" w:cs="Times New Roman"/>
                <w:i/>
                <w:iCs/>
                <w:sz w:val="22"/>
                <w:szCs w:val="22"/>
                <w:lang w:eastAsia="hr-HR"/>
              </w:rPr>
              <w:t>def</w:t>
            </w:r>
            <w:r w:rsidRPr="005203CE">
              <w:rPr>
                <w:rFonts w:ascii="inherit" w:eastAsia="Times New Roman" w:hAnsi="inherit" w:cs="Times New Roman"/>
                <w:sz w:val="22"/>
                <w:szCs w:val="22"/>
                <w:lang w:eastAsia="hr-HR"/>
              </w:rPr>
              <w:t>]krizen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50-32-8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H350</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H340</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H360FD</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H317</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H400</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H410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Karc. 1B</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Muta. 1B</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Repr. 1B</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Derm. senz. 1</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Akutna toks. vod. okol. 1</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Kron. toks. vod. okol. 1</w:t>
            </w:r>
          </w:p>
        </w:tc>
      </w:tr>
    </w:tbl>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1.4.2.   </w:t>
      </w:r>
      <w:r w:rsidRPr="005203CE">
        <w:rPr>
          <w:rFonts w:ascii="inherit" w:eastAsia="Times New Roman" w:hAnsi="inherit" w:cs="Times New Roman"/>
          <w:b/>
          <w:bCs/>
          <w:i/>
          <w:iCs/>
          <w:color w:val="000000"/>
          <w:szCs w:val="24"/>
          <w:lang w:eastAsia="hr-HR"/>
        </w:rPr>
        <w:t>Tvari koje oštećuju ozonski sloj</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sljedećem su odjeljku navedene opće smjernice za razvrstavanje otpada koji sadržava tvari koje oštećuju ozonski sloj (ODS).</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Opće informacije</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ODS-i uglavnom sadržavaju različite udjele klora, fluora, broma, ugljika i vodika te se za njih često upotrebljava opći pojam halogeni ugljici. Klorofluorougljici (CFC-i), ugljikov tetraklorid i metil kloroform važni su umjetno stvoreni plinovi koji oštećuju ozonski sloj. Haloni su još jedna važna skupina umjetno stvorenih halogenih ugljika, a sadržavaju ugljik, brom, fluor te (u nekim slučajevima) klor. Najpoznatije tvari sa znatnim potencijalom za oštećenje ozonskog sloja obuhvaćene su Montrealskim protokolom, kojim se nastoji postupno ukinuti ODS-e. U zakonodavstvu EU-a tom protokolu odgovara Uredba (EZ) br. 1005/2009 o tvarima koje oštećuju ozonski sloj</w:t>
      </w:r>
      <w:hyperlink r:id="rId92" w:anchor="ntr17-C_2018124HR.01002101-E0017"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17</w:t>
        </w:r>
        <w:r w:rsidRPr="005203CE">
          <w:rPr>
            <w:rFonts w:ascii="inherit" w:eastAsia="Times New Roman" w:hAnsi="inherit" w:cs="Times New Roman"/>
            <w:color w:val="0000FF"/>
            <w:szCs w:val="24"/>
            <w:u w:val="single"/>
            <w:lang w:eastAsia="hr-HR"/>
          </w:rPr>
          <w:t>)</w:t>
        </w:r>
      </w:hyperlink>
      <w:r w:rsidRPr="005203CE">
        <w:rPr>
          <w:rFonts w:ascii="inherit" w:eastAsia="Times New Roman" w:hAnsi="inherit" w:cs="Times New Roman"/>
          <w:color w:val="000000"/>
          <w:szCs w:val="24"/>
          <w:lang w:eastAsia="hr-HR"/>
        </w:rPr>
        <w:t> (vidjeti odlomak u nastavku).</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Dva su razloga zbog kojih te tvari imaju znatan potencijal za oštećenje ozonskog sloja. Prvo, ne razgrađuju se u nižem dijelu atmosfere i mogu se u atmosferi zadržati tijekom duljih razdoblja. Drugo, sadržavaju klor i/ili brom te tako potpomažu prirodne reakcije koje uništavaju ozon.</w:t>
      </w:r>
      <w:hyperlink r:id="rId93" w:anchor="ntr18-C_2018124HR.01002101-E0018"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18</w:t>
        </w:r>
        <w:r w:rsidRPr="005203CE">
          <w:rPr>
            <w:rFonts w:ascii="inherit" w:eastAsia="Times New Roman" w:hAnsi="inherit" w:cs="Times New Roman"/>
            <w:color w:val="0000FF"/>
            <w:szCs w:val="24"/>
            <w:u w:val="single"/>
            <w:lang w:eastAsia="hr-HR"/>
          </w:rPr>
          <w:t>)</w:t>
        </w:r>
      </w:hyperlink>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Glavni izvor</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Tvari koje oštećuju ozon imale su i još uvijek imaju brojne primjene, uključujući hlađenje, klimatizaciju, napuhavanje pjene, čišćenje sastavnih dijelova elektroničkih uređaja, proizvodnju otapala i kao sastavni dio uređaja za gašenje požara.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Glavni su izvori otpada koji sadržava ODS-e, koji u praksi uzrokuju probleme pri njihovu razvrstavanju, pjene iz odloženih hladnjaka te građevinskog otpada i otpada od rušenja (npr. otpad koji sadržava PCB-ove).</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Primjenjivi unosi na Popisu otpada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nastavku se nalazi neiscrpan popis glavnih unosa primjenjivih na otpad koji sadržava ODS-e:</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956"/>
        <w:gridCol w:w="7529"/>
        <w:gridCol w:w="571"/>
      </w:tblGrid>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14 06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klorofluorougljici, HCFC, HFC</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lastRenderedPageBreak/>
              <w:t>14 06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ostala halogenirana otapala i mješavine otapala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02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odbačena oprema koja sadržava klorofluorougljike, HCFC, HFC</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16 02 14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odbačena oprema koja nije navedena pod 16 02 09 do 16 02 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05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plinovi u posudama pod tlakom (uključujući halone) koji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16 05 05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plinovi u posudama pod tlakom koji nisu navedeni pod 16 05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06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ostali izolacijski materijali, koji se sastoje od opasnih tvari ili ih sadržavaju</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17 06 04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izolacijski materijali koji nisu navedeni pod 17 06 01 i 17 06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 01 23*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odbačena oprema koja sadržava klorofluorougljike, HCFC, HFC</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AH</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Mogu se primjenjivati i drugi unosi, na primjer 15 01 10* (ambalaža koja sadržava ostatke opasnih tvari ili je onečišćena opasnim tvarima) ako ambalaža sadržava ostatke ODS-a, npr. stare limenke sprejeva.</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Aspekti koje treba razmotriti pri razvrstavanju otpada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Prilogu I. (kontrolirane tvari) i Prilogu II. (nove tvari) Uredbi (EZ) br. 1005/2009 navodi se popis tvari koje je potrebno razvrstati kao ODS-e te njihov faktor oštećenja ozonskog sloja.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Prethodno spomenuti glavni relevantni unosi 14 06 01* i 14 06 02* su AH unosi. Zbog toga se otpad raspoređen u te unose razvrstava kao opasan bez dodatne procjene (čak i ako ne pokazuje opasna svojstva). Međutim, opasna svojstva morat će se procijeniti, primjerice radi ispunjavanja tovarnog lista.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slučaju izolacijskih pjena koje se upotrebljavaju u građevinarstvu, a mogu sadržavati ODS-e, potrebno je odlučiti se između MH unosa (17 06 03*) i MNH unosa (17 06 04). Za odabir između MH ili MNH unosa relevantno je opasno svojstvo HP 14 „Ekotoksično” (vidjeti odjeljak 3.14.). Budući da usklađeni pristup za razvrstavanje za HP 14 na razini EU-a (vidjeti odjeljak 3.14.) stupa na snagu 5. srpnja 2018., prije tog je datuma za procjenu otpada koji sadržava ODS-e potrebno uzeti u obzir pristupe država članica.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Neke države članice kao privremenu mjeru primjenjuju graničnu vrijednost koncentracije od 0,1 % koja proizlazi iz prethodnih zakonodavnih akata EU-a o kemikalijama (Direktive o opasnim tvarima</w:t>
      </w:r>
      <w:hyperlink r:id="rId94" w:anchor="ntr19-C_2018124HR.01002101-E0019"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19</w:t>
        </w:r>
        <w:r w:rsidRPr="005203CE">
          <w:rPr>
            <w:rFonts w:ascii="inherit" w:eastAsia="Times New Roman" w:hAnsi="inherit" w:cs="Times New Roman"/>
            <w:color w:val="0000FF"/>
            <w:szCs w:val="24"/>
            <w:u w:val="single"/>
            <w:lang w:eastAsia="hr-HR"/>
          </w:rPr>
          <w:t>)</w:t>
        </w:r>
      </w:hyperlink>
      <w:r w:rsidRPr="005203CE">
        <w:rPr>
          <w:rFonts w:ascii="inherit" w:eastAsia="Times New Roman" w:hAnsi="inherit" w:cs="Times New Roman"/>
          <w:color w:val="000000"/>
          <w:szCs w:val="24"/>
          <w:lang w:eastAsia="hr-HR"/>
        </w:rPr>
        <w:t> odnosno Direktive o opasnim pripravcima</w:t>
      </w:r>
      <w:hyperlink r:id="rId95" w:anchor="ntr20-C_2018124HR.01002101-E0020"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20</w:t>
        </w:r>
        <w:r w:rsidRPr="005203CE">
          <w:rPr>
            <w:rFonts w:ascii="inherit" w:eastAsia="Times New Roman" w:hAnsi="inherit" w:cs="Times New Roman"/>
            <w:color w:val="0000FF"/>
            <w:szCs w:val="24"/>
            <w:u w:val="single"/>
            <w:lang w:eastAsia="hr-HR"/>
          </w:rPr>
          <w:t>)</w:t>
        </w:r>
      </w:hyperlink>
      <w:r w:rsidRPr="005203CE">
        <w:rPr>
          <w:rFonts w:ascii="inherit" w:eastAsia="Times New Roman" w:hAnsi="inherit" w:cs="Times New Roman"/>
          <w:color w:val="000000"/>
          <w:szCs w:val="24"/>
          <w:lang w:eastAsia="hr-HR"/>
        </w:rPr>
        <w:t>). U potonjoj je direktivi utvrđeno da generička granična vrijednost za tvari (u pripravku) razvrstane kao opasne za ozonski sloj (N, R59) zbog kojih se mješavina razvrstava kao opasna za ozonski sloj iznosi 0,1 %. Za odabir između MN ili MNH unosa to znači da će se otpad koji sadržava 0,1 % ili više ODS-a morati razvrstati kao opasan prema oznaci HP 14. Stoga je granična vrijednost koncentracije od 0,1 % povezana s pojedinačnim ODS-om, a ne s ukupnim udjelom takvih tvari.</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1.4.3.   </w:t>
      </w:r>
      <w:r w:rsidRPr="005203CE">
        <w:rPr>
          <w:rFonts w:ascii="inherit" w:eastAsia="Times New Roman" w:hAnsi="inherit" w:cs="Times New Roman"/>
          <w:b/>
          <w:bCs/>
          <w:i/>
          <w:iCs/>
          <w:color w:val="000000"/>
          <w:szCs w:val="24"/>
          <w:lang w:eastAsia="hr-HR"/>
        </w:rPr>
        <w:t>Azbest</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sljedećem su primjeru navedene opće smjernice za razvrstavanje otpada koji sadržava azbest.</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Opće informacije</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Azbest je mineraloški naziv za određene vlaknaste silikate koji pripadaju mineraloškoj skupini minerala serpentina i amfibola, koji se kristaliziraju u takozvanom azbestnom obliku. Tom su definicijom obuhvaćeni sljedeći minerali: amozit, krokidolit, antofilit, krizotil, aktinolit i tremolit u vlaknastom obliku.</w:t>
      </w:r>
      <w:hyperlink r:id="rId96" w:anchor="ntr21-C_2018124HR.01002101-E0021"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21</w:t>
        </w:r>
        <w:r w:rsidRPr="005203CE">
          <w:rPr>
            <w:rFonts w:ascii="inherit" w:eastAsia="Times New Roman" w:hAnsi="inherit" w:cs="Times New Roman"/>
            <w:color w:val="0000FF"/>
            <w:szCs w:val="24"/>
            <w:u w:val="single"/>
            <w:lang w:eastAsia="hr-HR"/>
          </w:rPr>
          <w:t>)</w:t>
        </w:r>
      </w:hyperlink>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lastRenderedPageBreak/>
        <w:t>Glavni izvor</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Upotreba azbesta koji uključuje krizotil u praksi je u EU-u potpuno zabranjena od 2005. (vidjeti ograničenje 6. u Prilogu XVII. Uredbi REACH). Međutim, azbest je i dalje zabrinjavajuća tvar jer su bile zabilježene brojne upotrebe azbesta te ga se još uvijek može pronaći, među ostalim, u izolaciji, kao sastavni dio cementa, u industrijskim zgradama, postrojenjima, privatnim kućama, brodovima, sustavima za grijanje i hlađenje te radnoj opremi.</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Primjenjivi unosi na Popisu otpada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nastavku se nalazi neiscrpan popis glavnih unosa primjenjivih na otpad koji sadržava azbest:</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51"/>
        <w:gridCol w:w="7761"/>
        <w:gridCol w:w="544"/>
      </w:tblGrid>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 07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elektrolize koji sadržava azbest</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 13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iz prerade azbesta</w:t>
            </w:r>
            <w:hyperlink r:id="rId97" w:anchor="ntr22-C_2018124HR.01002101-E0022" w:history="1">
              <w:r w:rsidRPr="005203CE">
                <w:rPr>
                  <w:rFonts w:ascii="inherit" w:eastAsia="Times New Roman" w:hAnsi="inherit" w:cs="Times New Roman"/>
                  <w:color w:val="0000FF"/>
                  <w:sz w:val="22"/>
                  <w:szCs w:val="22"/>
                  <w:u w:val="single"/>
                  <w:lang w:eastAsia="hr-HR"/>
                </w:rPr>
                <w:t> (</w:t>
              </w:r>
              <w:r w:rsidRPr="005203CE">
                <w:rPr>
                  <w:rFonts w:ascii="inherit" w:eastAsia="Times New Roman" w:hAnsi="inherit" w:cs="Times New Roman"/>
                  <w:color w:val="0000FF"/>
                  <w:sz w:val="15"/>
                  <w:szCs w:val="15"/>
                  <w:u w:val="single"/>
                  <w:vertAlign w:val="superscript"/>
                  <w:lang w:eastAsia="hr-HR"/>
                </w:rPr>
                <w:t>22</w:t>
              </w:r>
              <w:r w:rsidRPr="005203CE">
                <w:rPr>
                  <w:rFonts w:ascii="inherit" w:eastAsia="Times New Roman" w:hAnsi="inherit" w:cs="Times New Roman"/>
                  <w:color w:val="0000FF"/>
                  <w:sz w:val="22"/>
                  <w:szCs w:val="22"/>
                  <w:u w:val="single"/>
                  <w:lang w:eastAsia="hr-HR"/>
                </w:rPr>
                <w:t>)</w:t>
              </w:r>
            </w:hyperlink>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13 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iz proizvodnje azbestnog cementa koji sadržava azbest</w:t>
            </w:r>
            <w:hyperlink r:id="rId98" w:anchor="ntr22-C_2018124HR.01002101-E0022" w:history="1">
              <w:r w:rsidRPr="005203CE">
                <w:rPr>
                  <w:rFonts w:ascii="inherit" w:eastAsia="Times New Roman" w:hAnsi="inherit" w:cs="Times New Roman"/>
                  <w:color w:val="0000FF"/>
                  <w:sz w:val="22"/>
                  <w:szCs w:val="22"/>
                  <w:u w:val="single"/>
                  <w:lang w:eastAsia="hr-HR"/>
                </w:rPr>
                <w:t> (</w:t>
              </w:r>
              <w:r w:rsidRPr="005203CE">
                <w:rPr>
                  <w:rFonts w:ascii="inherit" w:eastAsia="Times New Roman" w:hAnsi="inherit" w:cs="Times New Roman"/>
                  <w:color w:val="0000FF"/>
                  <w:sz w:val="15"/>
                  <w:szCs w:val="15"/>
                  <w:u w:val="single"/>
                  <w:vertAlign w:val="superscript"/>
                  <w:lang w:eastAsia="hr-HR"/>
                </w:rPr>
                <w:t>22</w:t>
              </w:r>
              <w:r w:rsidRPr="005203CE">
                <w:rPr>
                  <w:rFonts w:ascii="inherit" w:eastAsia="Times New Roman" w:hAnsi="inherit" w:cs="Times New Roman"/>
                  <w:color w:val="0000FF"/>
                  <w:sz w:val="22"/>
                  <w:szCs w:val="22"/>
                  <w:u w:val="single"/>
                  <w:lang w:eastAsia="hr-HR"/>
                </w:rPr>
                <w:t>)</w:t>
              </w:r>
            </w:hyperlink>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10 13 10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iz proizvodnje azbestnog cementa koji nije naveden pod 10 13 09</w:t>
            </w:r>
            <w:hyperlink r:id="rId99" w:anchor="ntr22-C_2018124HR.01002101-E0022" w:history="1">
              <w:r w:rsidRPr="005203CE">
                <w:rPr>
                  <w:rFonts w:ascii="inherit" w:eastAsia="Times New Roman" w:hAnsi="inherit" w:cs="Times New Roman"/>
                  <w:color w:val="0000FF"/>
                  <w:sz w:val="22"/>
                  <w:szCs w:val="22"/>
                  <w:u w:val="single"/>
                  <w:lang w:eastAsia="hr-HR"/>
                </w:rPr>
                <w:t> (</w:t>
              </w:r>
              <w:r w:rsidRPr="005203CE">
                <w:rPr>
                  <w:rFonts w:ascii="inherit" w:eastAsia="Times New Roman" w:hAnsi="inherit" w:cs="Times New Roman"/>
                  <w:color w:val="0000FF"/>
                  <w:sz w:val="15"/>
                  <w:szCs w:val="15"/>
                  <w:u w:val="single"/>
                  <w:vertAlign w:val="superscript"/>
                  <w:lang w:eastAsia="hr-HR"/>
                </w:rPr>
                <w:t>22</w:t>
              </w:r>
              <w:r w:rsidRPr="005203CE">
                <w:rPr>
                  <w:rFonts w:ascii="inherit" w:eastAsia="Times New Roman" w:hAnsi="inherit" w:cs="Times New Roman"/>
                  <w:color w:val="0000FF"/>
                  <w:sz w:val="22"/>
                  <w:szCs w:val="22"/>
                  <w:u w:val="single"/>
                  <w:lang w:eastAsia="hr-HR"/>
                </w:rPr>
                <w:t>)</w:t>
              </w:r>
            </w:hyperlink>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15 01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metalna ambalaža koja sadržava opasnu krutu poroznu matricu (npr. azbest), uključujući prazne spremnike pod tlakom</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01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kočne obloge koje sadržavaju azbest</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02 12*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odbačena oprema koja sadržava slobodni azbest</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06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izolacijski materijali koji sadržavaju azbest</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06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građevinski materijali koji sadržavaju azbest</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AH</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Treba napomenuti da postoje i drugi primjenjivi unosi na Popisu otpada u kojima se azbest ne spominje izričito, npr. unosi koji se odnose na onečišćena tla koja sadržavaju azbestna vlakna te otpad od rušenja koji sadržava azbestni cement (17 05 03* i 17 05 04).</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Aspekti koje treba razmotriti pri razvrstavanju otpada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Za odabir između MH ili MNH unosa relevantno je opasno svojstvo HP 7 „Karcinogeno”. Azbest je u skladu s Uredbom CLP razvrstan u razred opasnosti „Kanc. 1A” sa šifrom kategorije „TCOP 1”, koji odgovaraju šiframa oznaka upozorenja H350 i H372. U skladu s Prilogom III. ODO-u (vidjeti odjeljak 3.7. Priloga 3.) granična vrijednost koncentracije za H350 iznosi 0,1 %.</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Zbog toga se otpad koji sadržava 0,1 % azbesta ili više mora razvrstati kao opasan prema oznaci HP 7. Treba napomenuti da se azbestni otpad obično identificira na temelju poznavanja materijala i prosudbe stručnjaka. Međutim, na razini država članica mogu postojati metode utvrđivanja, npr. službena metoda za utvrđivanje prisutnosti azbesta u Italiji jest DM 06/09/1994 GU br. 288 10/12/1994 pomoću tehnike DRX, SEM ili FT-IR, pri čemu se DRX smatra najprikladnijom za glomazni materijal i otpad.</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lastRenderedPageBreak/>
        <w:t>Materijali koji sadržavaju azbest, na primjer ploča izolacijskog materijala, razvrstavaju se u odgovarajuću oznaku za azbestni otpad. Države članice mogu u tom pogledu pružiti dodatne smjernice i zatražiti da se azbest procjenjuje/razvrstava odvojeno od otpada s kojim je pomiješan.</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1.4.4.   </w:t>
      </w:r>
      <w:r w:rsidRPr="005203CE">
        <w:rPr>
          <w:rFonts w:ascii="inherit" w:eastAsia="Times New Roman" w:hAnsi="inherit" w:cs="Times New Roman"/>
          <w:b/>
          <w:bCs/>
          <w:i/>
          <w:iCs/>
          <w:color w:val="000000"/>
          <w:szCs w:val="24"/>
          <w:lang w:eastAsia="hr-HR"/>
        </w:rPr>
        <w:t>Otpad koji sadržava CaO i CA(OH)</w:t>
      </w:r>
      <w:r w:rsidRPr="005203CE">
        <w:rPr>
          <w:rFonts w:ascii="inherit" w:eastAsia="Times New Roman" w:hAnsi="inherit" w:cs="Times New Roman"/>
          <w:b/>
          <w:bCs/>
          <w:i/>
          <w:iCs/>
          <w:color w:val="000000"/>
          <w:sz w:val="17"/>
          <w:szCs w:val="17"/>
          <w:vertAlign w:val="subscript"/>
          <w:lang w:eastAsia="hr-HR"/>
        </w:rPr>
        <w:t>2</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sljedećem su primjeru navedene opće smjernice za razvrstavanje otpada koji sadržava kalcijev oksid CaO i kalcijev hidroksid Ca(OH)</w:t>
      </w:r>
      <w:r w:rsidRPr="005203CE">
        <w:rPr>
          <w:rFonts w:ascii="inherit" w:eastAsia="Times New Roman" w:hAnsi="inherit" w:cs="Times New Roman"/>
          <w:color w:val="000000"/>
          <w:sz w:val="17"/>
          <w:szCs w:val="17"/>
          <w:vertAlign w:val="subscript"/>
          <w:lang w:eastAsia="hr-HR"/>
        </w:rPr>
        <w:t>2</w:t>
      </w:r>
      <w:r w:rsidRPr="005203CE">
        <w:rPr>
          <w:rFonts w:ascii="inherit" w:eastAsia="Times New Roman" w:hAnsi="inherit" w:cs="Times New Roman"/>
          <w:color w:val="000000"/>
          <w:szCs w:val="24"/>
          <w:lang w:eastAsia="hr-HR"/>
        </w:rPr>
        <w:t>.</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Opće informacije</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CaO (vapno ili živo vapno) može biti u obliku kristala bez mirisa, bijelih ili sivobijelih grudica ili zrnatog praha. Komercijalni materijal može biti žućkaste ili smećkaste nijanse jer sadržava željezo.</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Ca(OH)</w:t>
      </w:r>
      <w:r w:rsidRPr="005203CE">
        <w:rPr>
          <w:rFonts w:ascii="inherit" w:eastAsia="Times New Roman" w:hAnsi="inherit" w:cs="Times New Roman"/>
          <w:color w:val="000000"/>
          <w:sz w:val="17"/>
          <w:szCs w:val="17"/>
          <w:vertAlign w:val="subscript"/>
          <w:lang w:eastAsia="hr-HR"/>
        </w:rPr>
        <w:t>2</w:t>
      </w:r>
      <w:r w:rsidRPr="005203CE">
        <w:rPr>
          <w:rFonts w:ascii="inherit" w:eastAsia="Times New Roman" w:hAnsi="inherit" w:cs="Times New Roman"/>
          <w:color w:val="000000"/>
          <w:szCs w:val="24"/>
          <w:lang w:eastAsia="hr-HR"/>
        </w:rPr>
        <w:t> (gašeno vapno) meki je bijeli prah ili zrnasti prah te nije goriv.</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Glavni izvor</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Kalcijev oksid i kalcijev hidroksid upotrebljavaju se u sličnim granama industrije i imaju slične primjene.</w:t>
      </w: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Upotrebljavaju se kao sirovina za pripremu klornog vapna, praška za izbjeljivanje i kalcijevih soli. Također služe kao vezivno sredstvo u izradi nekoliko proizvoda kao što su cement i drugi građevinski materijali i materijali za polaganje cesta.</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Upotrebljavaju se kao sredstvo za pročišćavanje vode i otpadnih voda iz različitih industrija.</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Upotrebjavaju se kao sredstvo za ispiranje i neutralizaciju u kemijskoj i petrokemijskoj industriji.</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Velike količine kalcijeva oksida i kalcijeva hidroksida nastaju u postupcima izgaranja i može ih se pronaći u preostalom pepelu.</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Upotrebljavaju se u različitim postupcima u sljedećim industrijama: proizvodnja željeza i čelika (i drugih metala), sinteza amonijaka, rafiniranje metalnih ruda, proizvodnja finih kemikalija (npr. lijekova, lubrikanata), industrija celuloze i papira, proizvodnja kože itd.</w:t>
            </w:r>
          </w:p>
        </w:tc>
      </w:tr>
    </w:tbl>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Primjenjivi unosi na Popisu otpada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Otpad koji sadržava CaO/Ca(OH)</w:t>
      </w:r>
      <w:r w:rsidRPr="005203CE">
        <w:rPr>
          <w:rFonts w:ascii="inherit" w:eastAsia="Times New Roman" w:hAnsi="inherit" w:cs="Times New Roman"/>
          <w:color w:val="000000"/>
          <w:sz w:val="17"/>
          <w:szCs w:val="17"/>
          <w:vertAlign w:val="subscript"/>
          <w:lang w:eastAsia="hr-HR"/>
        </w:rPr>
        <w:t>2</w:t>
      </w:r>
      <w:r w:rsidRPr="005203CE">
        <w:rPr>
          <w:rFonts w:ascii="inherit" w:eastAsia="Times New Roman" w:hAnsi="inherit" w:cs="Times New Roman"/>
          <w:color w:val="000000"/>
          <w:szCs w:val="24"/>
          <w:lang w:eastAsia="hr-HR"/>
        </w:rPr>
        <w:t> mogao bi se rasporediti u brojne unose. U nastavku se nalazi neiscrpan popis primjenjivih unosa. Relevantni unosi za otpad koji sadržava CaO/Ca(OH)</w:t>
      </w:r>
      <w:r w:rsidRPr="005203CE">
        <w:rPr>
          <w:rFonts w:ascii="inherit" w:eastAsia="Times New Roman" w:hAnsi="inherit" w:cs="Times New Roman"/>
          <w:color w:val="000000"/>
          <w:sz w:val="17"/>
          <w:szCs w:val="17"/>
          <w:vertAlign w:val="subscript"/>
          <w:lang w:eastAsia="hr-HR"/>
        </w:rPr>
        <w:t>2</w:t>
      </w:r>
      <w:r w:rsidRPr="005203CE">
        <w:rPr>
          <w:rFonts w:ascii="inherit" w:eastAsia="Times New Roman" w:hAnsi="inherit" w:cs="Times New Roman"/>
          <w:color w:val="000000"/>
          <w:szCs w:val="24"/>
          <w:lang w:eastAsia="hr-HR"/>
        </w:rPr>
        <w:t> uglavnom se nalaze u sljedećim potpoglavljima.</w:t>
      </w:r>
    </w:p>
    <w:tbl>
      <w:tblPr>
        <w:tblW w:w="5000" w:type="pct"/>
        <w:tblCellSpacing w:w="0" w:type="dxa"/>
        <w:tblCellMar>
          <w:left w:w="0" w:type="dxa"/>
          <w:right w:w="0" w:type="dxa"/>
        </w:tblCellMar>
        <w:tblLook w:val="04A0" w:firstRow="1" w:lastRow="0" w:firstColumn="1" w:lastColumn="0" w:noHBand="0" w:noVBand="1"/>
      </w:tblPr>
      <w:tblGrid>
        <w:gridCol w:w="562"/>
        <w:gridCol w:w="8510"/>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10 01</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otpad iz elektrana i ostalih postrojenja za sagorijevanje (osim 19)</w:t>
            </w:r>
          </w:p>
        </w:tc>
      </w:tr>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10 02</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otpad iz industrije željeza i čelika</w:t>
            </w:r>
          </w:p>
        </w:tc>
      </w:tr>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10 13</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otpad od proizvodnje cementa, vapna i gipsa te predmeti i proizvodi dobiveni od njih</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odjeljku 1.2.1. Priloga 1. može se provjeriti koji su unosi iz prethodno navedenih potpoglavlja ANH, AH, MNH i MH unosi.</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lastRenderedPageBreak/>
        <w:t>Ako se CaO/Ca(OH)</w:t>
      </w:r>
      <w:r w:rsidRPr="005203CE">
        <w:rPr>
          <w:rFonts w:ascii="inherit" w:eastAsia="Times New Roman" w:hAnsi="inherit" w:cs="Times New Roman"/>
          <w:color w:val="000000"/>
          <w:sz w:val="17"/>
          <w:szCs w:val="17"/>
          <w:vertAlign w:val="subscript"/>
          <w:lang w:eastAsia="hr-HR"/>
        </w:rPr>
        <w:t>2</w:t>
      </w:r>
      <w:r w:rsidRPr="005203CE">
        <w:rPr>
          <w:rFonts w:ascii="inherit" w:eastAsia="Times New Roman" w:hAnsi="inherit" w:cs="Times New Roman"/>
          <w:color w:val="000000"/>
          <w:szCs w:val="24"/>
          <w:lang w:eastAsia="hr-HR"/>
        </w:rPr>
        <w:t> upotrebljava za ispiranje dimnih plinova tijekom termičkog zbrinjavanja otpada, sljedeći se unos može primjenjivati za krute ostatke (uzimajući u obzir i moguću prisutnost drugih opasnih tvari u dimnim plinovima):</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118"/>
        <w:gridCol w:w="6128"/>
        <w:gridCol w:w="810"/>
      </w:tblGrid>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01 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kruti otpad od obrade plinova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AH</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Na otpad koji sadržava CaO/Ca(OH)</w:t>
      </w:r>
      <w:r w:rsidRPr="005203CE">
        <w:rPr>
          <w:rFonts w:ascii="inherit" w:eastAsia="Times New Roman" w:hAnsi="inherit" w:cs="Times New Roman"/>
          <w:color w:val="000000"/>
          <w:sz w:val="17"/>
          <w:szCs w:val="17"/>
          <w:vertAlign w:val="subscript"/>
          <w:lang w:eastAsia="hr-HR"/>
        </w:rPr>
        <w:t>2</w:t>
      </w:r>
      <w:r w:rsidRPr="005203CE">
        <w:rPr>
          <w:rFonts w:ascii="inherit" w:eastAsia="Times New Roman" w:hAnsi="inherit" w:cs="Times New Roman"/>
          <w:color w:val="000000"/>
          <w:szCs w:val="24"/>
          <w:lang w:eastAsia="hr-HR"/>
        </w:rPr>
        <w:t> mogu se primjenjivati i dodatni unosi. Na primjer, u unos 06 02 01* kalcijev hidroksid trebalo bi rasporediti otpad koji sadržava Ca(OH)</w:t>
      </w:r>
      <w:r w:rsidRPr="005203CE">
        <w:rPr>
          <w:rFonts w:ascii="inherit" w:eastAsia="Times New Roman" w:hAnsi="inherit" w:cs="Times New Roman"/>
          <w:color w:val="000000"/>
          <w:sz w:val="17"/>
          <w:szCs w:val="17"/>
          <w:vertAlign w:val="subscript"/>
          <w:lang w:eastAsia="hr-HR"/>
        </w:rPr>
        <w:t>2</w:t>
      </w:r>
      <w:r w:rsidRPr="005203CE">
        <w:rPr>
          <w:rFonts w:ascii="inherit" w:eastAsia="Times New Roman" w:hAnsi="inherit" w:cs="Times New Roman"/>
          <w:color w:val="000000"/>
          <w:szCs w:val="24"/>
          <w:lang w:eastAsia="hr-HR"/>
        </w:rPr>
        <w:t> iz proizvodnje, formulacije, opskrbe i uporabe lužina.</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Aspekti koje treba razmotriti pri razvrstavanju otpada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Za odabir odgovarajućeg unosa za otpad koji sadržava CaO/Ca(OH)</w:t>
      </w:r>
      <w:r w:rsidRPr="005203CE">
        <w:rPr>
          <w:rFonts w:ascii="inherit" w:eastAsia="Times New Roman" w:hAnsi="inherit" w:cs="Times New Roman"/>
          <w:color w:val="000000"/>
          <w:sz w:val="17"/>
          <w:szCs w:val="17"/>
          <w:vertAlign w:val="subscript"/>
          <w:lang w:eastAsia="hr-HR"/>
        </w:rPr>
        <w:t>2</w:t>
      </w:r>
      <w:r w:rsidRPr="005203CE">
        <w:rPr>
          <w:rFonts w:ascii="inherit" w:eastAsia="Times New Roman" w:hAnsi="inherit" w:cs="Times New Roman"/>
          <w:color w:val="000000"/>
          <w:szCs w:val="24"/>
          <w:lang w:eastAsia="hr-HR"/>
        </w:rPr>
        <w:t> treba napomenuti da su apsolutno neopasni unosi neopasni. To znači da nije potrebna dodatna procjena opasnih svojstava kako bi se utvrdilo treba li otpad rasporediti u opasan ili neopasan unos. Na primjer, šljaka iz industrije željeza i čelika može se rasporediti u sljedeće unose:</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141"/>
        <w:gridCol w:w="5558"/>
        <w:gridCol w:w="1357"/>
      </w:tblGrid>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10 02 01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prerade šljake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10 02 02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neprerađena šljaka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ANH</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Čak i kad bi sadržaj CaO iz prethodno navedene šljake iz industrije željeza i čelika bio iznad graničnih vrijednosti koncentracije kako su propisane u Prilogu III. ODO-u, otpad bi trebalo razvrstati kao neopasan osim ako država članica primjenjuje članak 7. ODO-a (vidjeti okvir 2. poglavlja 2.).</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brojnim samorazvrstavanjima ili odgovarajućim sigurnosno-tehničkim listovima u okviru Uredbe CLP kalcijevu oksidu (CaO) i kalcijevu hidroksidu (Ca(OH)</w:t>
      </w:r>
      <w:r w:rsidRPr="005203CE">
        <w:rPr>
          <w:rFonts w:ascii="inherit" w:eastAsia="Times New Roman" w:hAnsi="inherit" w:cs="Times New Roman"/>
          <w:color w:val="000000"/>
          <w:sz w:val="17"/>
          <w:szCs w:val="17"/>
          <w:vertAlign w:val="subscript"/>
          <w:lang w:eastAsia="hr-HR"/>
        </w:rPr>
        <w:t>2</w:t>
      </w:r>
      <w:r w:rsidRPr="005203CE">
        <w:rPr>
          <w:rFonts w:ascii="inherit" w:eastAsia="Times New Roman" w:hAnsi="inherit" w:cs="Times New Roman"/>
          <w:color w:val="000000"/>
          <w:szCs w:val="24"/>
          <w:lang w:eastAsia="hr-HR"/>
        </w:rPr>
        <w:t>) dodijeljene su šifre oznaka upozorenja H315, H318 i H335. Međutim, postoje i druga samorazvrstavanja u kojima se primjenjuju druge šifre oznaka upozorenja (vidjeti Prilog 2. o izvorima podataka koje je potrebno konzultirati radi provjere različitih samorazvrstavanja CaO i Ca(OH)</w:t>
      </w:r>
      <w:r w:rsidRPr="005203CE">
        <w:rPr>
          <w:rFonts w:ascii="inherit" w:eastAsia="Times New Roman" w:hAnsi="inherit" w:cs="Times New Roman"/>
          <w:color w:val="000000"/>
          <w:sz w:val="17"/>
          <w:szCs w:val="17"/>
          <w:vertAlign w:val="subscript"/>
          <w:lang w:eastAsia="hr-HR"/>
        </w:rPr>
        <w:t>2</w:t>
      </w:r>
      <w:r w:rsidRPr="005203CE">
        <w:rPr>
          <w:rFonts w:ascii="inherit" w:eastAsia="Times New Roman" w:hAnsi="inherit" w:cs="Times New Roman"/>
          <w:color w:val="000000"/>
          <w:szCs w:val="24"/>
          <w:lang w:eastAsia="hr-HR"/>
        </w:rPr>
        <w:t>). Treba napomenuti da informacije koje se prikupljaju isključivo iz samorazvrstavanja možda neće biti dostatne za razvrstavanje otpada.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Za odabir između MH ili MNH unosa relevantna su opasna svojstva HP 4 „Nadražujuće – kožne iritacije i ozljede oka” i HP 5 „Specifična toksičnost za ciljni organ / aspiracijska toksičnost”. Odgovarajuće granične vrijednosti koncentracija propisane su u Prilogu III. ODO-u (vidjeti priloge 3.4. i 3.5.), a prikazane su i u tablici 6. Treba napomenuti da se tablica 6. temelji na šiframa oznaka upozorenja koje su dodijeljene kalcijevu oksidu, a kalcijev hidroksid preuzet je iz samorazvrstavanja. Ako se primjenjivost tih šifri oznaka upozorenja može provjeriti pomoću dodatnih informacija (npr. informacije o postupku u kojem je nastao otpad), zaključuje se sljedeće:</w:t>
      </w: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ako zbroj koncentracija svih tvari razvrstanih kao H318 (npr. CaO i Ca(OH)</w:t>
            </w:r>
            <w:r w:rsidRPr="005203CE">
              <w:rPr>
                <w:rFonts w:ascii="inherit" w:eastAsia="Times New Roman" w:hAnsi="inherit" w:cs="Times New Roman"/>
                <w:sz w:val="17"/>
                <w:szCs w:val="17"/>
                <w:vertAlign w:val="subscript"/>
                <w:lang w:eastAsia="hr-HR"/>
              </w:rPr>
              <w:t>2</w:t>
            </w:r>
            <w:r w:rsidRPr="005203CE">
              <w:rPr>
                <w:rFonts w:ascii="inherit" w:eastAsia="Times New Roman" w:hAnsi="inherit" w:cs="Times New Roman"/>
                <w:szCs w:val="24"/>
                <w:lang w:eastAsia="hr-HR"/>
              </w:rPr>
              <w:t>) iznosi 10 % ili više,</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otpad bi trebalo razvrstati kao opasan u skladu s oznakom HP 4.</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Osim toga:</w:t>
      </w: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ako zbroj koncentracija svih tvari razvrstanih kao H335 (npr. CaO i Ca(OH)</w:t>
            </w:r>
            <w:r w:rsidRPr="005203CE">
              <w:rPr>
                <w:rFonts w:ascii="inherit" w:eastAsia="Times New Roman" w:hAnsi="inherit" w:cs="Times New Roman"/>
                <w:sz w:val="17"/>
                <w:szCs w:val="17"/>
                <w:vertAlign w:val="subscript"/>
                <w:lang w:eastAsia="hr-HR"/>
              </w:rPr>
              <w:t>2</w:t>
            </w:r>
            <w:r w:rsidRPr="005203CE">
              <w:rPr>
                <w:rFonts w:ascii="inherit" w:eastAsia="Times New Roman" w:hAnsi="inherit" w:cs="Times New Roman"/>
                <w:szCs w:val="24"/>
                <w:lang w:eastAsia="hr-HR"/>
              </w:rPr>
              <w:t>) iznosi 20 % ili više,</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otpad bi trebalo razvrstati kao opasan u skladu s oznakom HP 5.</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 xml:space="preserve">U skladu s prvom alinejom Priloga Popisu otpada, ako se testiranjem otpada primjenom metoda (u okviru kojih se upotrebljavaju beskralješnjaci) navedenih u Uredbi o ispitnim metodama </w:t>
      </w:r>
      <w:r w:rsidRPr="005203CE">
        <w:rPr>
          <w:rFonts w:ascii="inherit" w:eastAsia="Times New Roman" w:hAnsi="inherit" w:cs="Times New Roman"/>
          <w:color w:val="000000"/>
          <w:szCs w:val="24"/>
          <w:lang w:eastAsia="hr-HR"/>
        </w:rPr>
        <w:lastRenderedPageBreak/>
        <w:t>otkrije da predmetni otpad ne pokazuje ta opasna svojstva, odluku bi trebalo temeljiti na rezultatima tog testiranja.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Dodatne informacije potražite u prilozima 3.4. i 3.5.</w:t>
      </w:r>
    </w:p>
    <w:p w:rsidR="005203CE" w:rsidRPr="005203CE" w:rsidRDefault="005203CE" w:rsidP="005203CE">
      <w:pPr>
        <w:spacing w:before="120" w:after="120" w:line="240" w:lineRule="auto"/>
        <w:jc w:val="center"/>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Tablica 6.</w:t>
      </w:r>
    </w:p>
    <w:p w:rsidR="005203CE" w:rsidRPr="005203CE" w:rsidRDefault="005203CE" w:rsidP="005203CE">
      <w:pPr>
        <w:spacing w:before="120" w:after="120" w:line="240" w:lineRule="auto"/>
        <w:jc w:val="center"/>
        <w:rPr>
          <w:rFonts w:ascii="inherit" w:eastAsia="Times New Roman" w:hAnsi="inherit" w:cs="Times New Roman"/>
          <w:color w:val="000000"/>
          <w:szCs w:val="24"/>
          <w:lang w:eastAsia="hr-HR"/>
        </w:rPr>
      </w:pPr>
      <w:r w:rsidRPr="005203CE">
        <w:rPr>
          <w:rFonts w:ascii="inherit" w:eastAsia="Times New Roman" w:hAnsi="inherit" w:cs="Times New Roman"/>
          <w:b/>
          <w:bCs/>
          <w:color w:val="000000"/>
          <w:szCs w:val="24"/>
          <w:lang w:eastAsia="hr-HR"/>
        </w:rPr>
        <w:t>Šifre oznaka upozorenja i granične vrijednosti koncentracije za CaO i Ca(OH)</w:t>
      </w:r>
      <w:r w:rsidRPr="005203CE">
        <w:rPr>
          <w:rFonts w:ascii="inherit" w:eastAsia="Times New Roman" w:hAnsi="inherit" w:cs="Times New Roman"/>
          <w:b/>
          <w:bCs/>
          <w:color w:val="000000"/>
          <w:sz w:val="17"/>
          <w:szCs w:val="17"/>
          <w:vertAlign w:val="subscript"/>
          <w:lang w:eastAsia="hr-HR"/>
        </w:rPr>
        <w:t>2</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033"/>
        <w:gridCol w:w="2100"/>
        <w:gridCol w:w="3054"/>
        <w:gridCol w:w="2869"/>
      </w:tblGrid>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Razred opasnosti i šifre kategorija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Šifre oznaka upozorenja iz samorazvrstavanja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Granična vrijednost koncentracije (ukupno tvari)</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CaO</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Ozlj. oka 1</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TCOJ 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H318</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H335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 10 %</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 20 %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Ca(OH)</w:t>
            </w:r>
            <w:r w:rsidRPr="005203CE">
              <w:rPr>
                <w:rFonts w:ascii="inherit" w:eastAsia="Times New Roman" w:hAnsi="inherit" w:cs="Times New Roman"/>
                <w:b/>
                <w:bCs/>
                <w:sz w:val="15"/>
                <w:szCs w:val="15"/>
                <w:vertAlign w:val="subscript"/>
                <w:lang w:eastAsia="hr-HR"/>
              </w:rPr>
              <w:t>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Ozlj. oka 1</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TCOJ 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H318</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H335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 10 %</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 20 %</w:t>
            </w:r>
          </w:p>
        </w:tc>
      </w:tr>
    </w:tbl>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1.4.5.   </w:t>
      </w:r>
      <w:r w:rsidRPr="005203CE">
        <w:rPr>
          <w:rFonts w:ascii="inherit" w:eastAsia="Times New Roman" w:hAnsi="inherit" w:cs="Times New Roman"/>
          <w:b/>
          <w:bCs/>
          <w:i/>
          <w:iCs/>
          <w:color w:val="000000"/>
          <w:szCs w:val="24"/>
          <w:lang w:eastAsia="hr-HR"/>
        </w:rPr>
        <w:t>Otpad koji sadržava ugljeni katran i bitumen</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sljedećem su primjeru navedene opće smjernice za razvrstavanje otpada koji sadržava ugljeni katran.</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Opće informacije</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Ugljeni katran viskozni je materijal koji se sastoji od složenih spojeva velike molekularne mase dobivenih iz, primjerice, destruktivne destilacije drva ili ugljena.</w:t>
      </w:r>
      <w:hyperlink r:id="rId100" w:anchor="ntr23-C_2018124HR.01002101-E0023"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23</w:t>
        </w:r>
        <w:r w:rsidRPr="005203CE">
          <w:rPr>
            <w:rFonts w:ascii="inherit" w:eastAsia="Times New Roman" w:hAnsi="inherit" w:cs="Times New Roman"/>
            <w:color w:val="0000FF"/>
            <w:szCs w:val="24"/>
            <w:u w:val="single"/>
            <w:lang w:eastAsia="hr-HR"/>
          </w:rPr>
          <w:t>)</w:t>
        </w:r>
      </w:hyperlink>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Bitumen je generički naziv za prirodne nezapaljive tvari promjenjive boje, tvrdoće i hlapljivosti koje se primarno sastoje od ugljikovodika koji je u znatnoj mjeri slobodan od oksigeniranih tijela.</w:t>
      </w:r>
      <w:hyperlink r:id="rId101" w:anchor="ntr24-C_2018124HR.01002101-E0024"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24</w:t>
        </w:r>
        <w:r w:rsidRPr="005203CE">
          <w:rPr>
            <w:rFonts w:ascii="inherit" w:eastAsia="Times New Roman" w:hAnsi="inherit" w:cs="Times New Roman"/>
            <w:color w:val="0000FF"/>
            <w:szCs w:val="24"/>
            <w:u w:val="single"/>
            <w:lang w:eastAsia="hr-HR"/>
          </w:rPr>
          <w:t>)</w:t>
        </w:r>
      </w:hyperlink>
      <w:r w:rsidRPr="005203CE">
        <w:rPr>
          <w:rFonts w:ascii="inherit" w:eastAsia="Times New Roman" w:hAnsi="inherit" w:cs="Times New Roman"/>
          <w:color w:val="000000"/>
          <w:szCs w:val="24"/>
          <w:lang w:eastAsia="hr-HR"/>
        </w:rPr>
        <w:t> Bitumen se proizvodi destilacijom sirove nafte tijekom rafiniranja nafte:</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„Naftni bitumen globalno je poznat pod različitim nazivima. Na primjer, pojam ‚bitumen’ obično se upotrebljava u Europi, a istoznačan je pojmovima ‚asfalt’ ili ‚asfaltno vezivo’, koji se upotrebljavaju u Sjevernoj Americi. Izvan Sjeverne Amerike pojam ‚asfalt’ upotrebljava se za mješavine bitumena i mineralnih materijala. […]</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Proizvodi dobiveni iz ugljena kao što su ugljeni katran ili smole ugljenog katrana znatno se razlikuju od bitumena. Proizvedeni su pirolizom bituminoznog ugljena na visokoj temperaturi (&gt; 800 °C) te se znatno razlikuju od bitumena po sastavu, fizičkim svojstvima i mogućim rizicima za zdravlje.</w:t>
      </w:r>
      <w:r w:rsidRPr="005203CE">
        <w:rPr>
          <w:rFonts w:ascii="inherit" w:eastAsia="Times New Roman" w:hAnsi="inherit" w:cs="Times New Roman"/>
          <w:color w:val="000000"/>
          <w:szCs w:val="24"/>
          <w:lang w:eastAsia="hr-HR"/>
        </w:rPr>
        <w:t>”</w:t>
      </w:r>
      <w:hyperlink r:id="rId102" w:anchor="ntr25-C_2018124HR.01002101-E0025"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25</w:t>
        </w:r>
        <w:r w:rsidRPr="005203CE">
          <w:rPr>
            <w:rFonts w:ascii="inherit" w:eastAsia="Times New Roman" w:hAnsi="inherit" w:cs="Times New Roman"/>
            <w:color w:val="0000FF"/>
            <w:szCs w:val="24"/>
            <w:u w:val="single"/>
            <w:lang w:eastAsia="hr-HR"/>
          </w:rPr>
          <w:t>)</w:t>
        </w:r>
      </w:hyperlink>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Glavni izvor</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Većina ugljenog katrana destilira se da bi se proizveli rafinirani proizvodi, uključujući kreozot, smolu ugljenog katrana, sirovi naftalen i antracenska ulja. Određeni se sirovi ugljeni katran zbog lake dostupnosti i toplinske vrijednosti upotrebljava kao gorivo za visoke peći u industriji čelika. U industriji proizvodnje i prerade aluminijeva oksida i aluminija ugljeni katran upotrebljava se u nekoliko koraka u procesu, posebice za proizvodnju anoda. Upotrebljava se i u širim sektorima građevinarstva te različitim industrijama povezanima s ugljenom.</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Proizvodnja bitumena na svjetskoj razini iznosi otprilike 87 milijuna tona godišnje, a postoji više od 250 poznatih primjena bitumena. Većina bitumena upotrebljava se u građevinarstvu, osobito za potrebe polaganja cesta i pokrivanja krovova.</w:t>
      </w:r>
      <w:hyperlink r:id="rId103" w:anchor="ntr26-C_2018124HR.01002101-E0026"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26</w:t>
        </w:r>
        <w:r w:rsidRPr="005203CE">
          <w:rPr>
            <w:rFonts w:ascii="inherit" w:eastAsia="Times New Roman" w:hAnsi="inherit" w:cs="Times New Roman"/>
            <w:color w:val="0000FF"/>
            <w:szCs w:val="24"/>
            <w:u w:val="single"/>
            <w:lang w:eastAsia="hr-HR"/>
          </w:rPr>
          <w:t>)</w:t>
        </w:r>
      </w:hyperlink>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Primjenjivi unosi na Popisu otpada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lastRenderedPageBreak/>
        <w:t>U nastavku se nalazi neiscrpan popis glavnih unosa primjenjivih na otpad koji sadržava ugljeni katran:</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329"/>
        <w:gridCol w:w="6933"/>
        <w:gridCol w:w="794"/>
      </w:tblGrid>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03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mješavine bitumena koje sadržavaju ugljeni katran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17 03 02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mješavine bitumena koje nisu navedene pod 17 03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03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ugljeni katran i proizvodi koji sadržavaju katran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AH</w:t>
            </w:r>
          </w:p>
        </w:tc>
      </w:tr>
    </w:tbl>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Aspekti koje treba razmotriti pri razvrstavanju otpada </w:t>
      </w:r>
      <w:hyperlink r:id="rId104" w:anchor="ntr27-C_2018124HR.01002101-E0027" w:history="1">
        <w:r w:rsidRPr="005203CE">
          <w:rPr>
            <w:rFonts w:ascii="inherit" w:eastAsia="Times New Roman" w:hAnsi="inherit" w:cs="Times New Roman"/>
            <w:b/>
            <w:bCs/>
            <w:color w:val="0000FF"/>
            <w:szCs w:val="24"/>
            <w:u w:val="single"/>
            <w:lang w:eastAsia="hr-HR"/>
          </w:rPr>
          <w:t> (</w:t>
        </w:r>
        <w:r w:rsidRPr="005203CE">
          <w:rPr>
            <w:rFonts w:ascii="inherit" w:eastAsia="Times New Roman" w:hAnsi="inherit" w:cs="Times New Roman"/>
            <w:b/>
            <w:bCs/>
            <w:color w:val="0000FF"/>
            <w:sz w:val="17"/>
            <w:szCs w:val="17"/>
            <w:u w:val="single"/>
            <w:vertAlign w:val="superscript"/>
            <w:lang w:eastAsia="hr-HR"/>
          </w:rPr>
          <w:t>27</w:t>
        </w:r>
        <w:r w:rsidRPr="005203CE">
          <w:rPr>
            <w:rFonts w:ascii="inherit" w:eastAsia="Times New Roman" w:hAnsi="inherit" w:cs="Times New Roman"/>
            <w:b/>
            <w:bCs/>
            <w:color w:val="0000FF"/>
            <w:szCs w:val="24"/>
            <w:u w:val="single"/>
            <w:lang w:eastAsia="hr-HR"/>
          </w:rPr>
          <w:t>)</w:t>
        </w:r>
      </w:hyperlink>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Moguće opasnosti od otpada koji sadržava ugljeni katran ovise o razini PAH-ova u njemu jer oni mogu imati karcinogeni učinak (visoka razina u ugljenom katranu, prilično niska u bitumenu). Pogledajte stoga i odjeljak 1.4.1.</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Dostupni su indikatorski testovi kojima se utvrđuje sadržava li otpad koji sadržava ugljeni katran znatnu koncentraciju PAH komponenti. Ispitivanjem se utvrđuje prisutnost PAH-ova, ali se </w:t>
      </w:r>
      <w:r w:rsidRPr="005203CE">
        <w:rPr>
          <w:rFonts w:ascii="inherit" w:eastAsia="Times New Roman" w:hAnsi="inherit" w:cs="Times New Roman"/>
          <w:i/>
          <w:iCs/>
          <w:color w:val="000000"/>
          <w:szCs w:val="24"/>
          <w:lang w:eastAsia="hr-HR"/>
        </w:rPr>
        <w:t>ne mjeri</w:t>
      </w:r>
      <w:r w:rsidRPr="005203CE">
        <w:rPr>
          <w:rFonts w:ascii="inherit" w:eastAsia="Times New Roman" w:hAnsi="inherit" w:cs="Times New Roman"/>
          <w:color w:val="000000"/>
          <w:szCs w:val="24"/>
          <w:lang w:eastAsia="hr-HR"/>
        </w:rPr>
        <w:t> njihova koncentracija. Primjeri su navedeni u Smjernicama agencije OVAM:</w:t>
      </w:r>
    </w:p>
    <w:tbl>
      <w:tblPr>
        <w:tblW w:w="5000" w:type="pct"/>
        <w:tblCellSpacing w:w="0" w:type="dxa"/>
        <w:tblCellMar>
          <w:left w:w="0" w:type="dxa"/>
          <w:right w:w="0" w:type="dxa"/>
        </w:tblCellMar>
        <w:tblLook w:val="04A0" w:firstRow="1" w:lastRow="0" w:firstColumn="1" w:lastColumn="0" w:noHBand="0" w:noVBand="1"/>
      </w:tblPr>
      <w:tblGrid>
        <w:gridCol w:w="334"/>
        <w:gridCol w:w="8738"/>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upotreba PAH markera u kombinaciji s upotrebom UV svjetiljke,</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021"/>
        <w:gridCol w:w="8051"/>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bijela boja u spreju,</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664"/>
        <w:gridCol w:w="8408"/>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dodavanje kapi metilen klorida.</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Ako su rezultati bilo kojeg navedenog testiranja pozitivni, pretpostavlja se da materijal sadržava katran i da je stoga opasan, osim ako vlasnik toka otpada može dokazati da je koncentracija PAH-ova ispod graničnih vrijednosti iz Priloga III. ODO-u, pa se može razvrstati kao neopasan. Međutim, razvrstavanje otpada kao (ne)opasnog ne smije se temeljiti isključivo prisutnosti PAH-ova, već bi trebalo uzeti u obzir sve tvari prisutne u toku otpada.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Ugljeni katran i njegovi destilati (npr. katranska ulja) mogu imati karcinogena svojstva. Ako koncentracija takvih materijala iznosi 0,1 % ili više, otpad pokazuje opasno svojstvo HP 7 „Karcinogeno” (vidjeti odjeljak 3.7.).</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Prisutnost ugljenog katrana obično se ne utvrđuje u okviru ispitivanja otpada. Treba napomenuti da se u tablici 3. u dijelu 3. Priloga VI. Uredbi CLP benzo[a]piren upotrebljava kao spoj koji služi kao marker za označavanje karcinogenosti u određenim unosima za ugljeni katran u kojima koncentracija benzo[a]pirena iznosi 50 ppm (mg/kg) ili više.</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Uzorkovanjem asfaltnog cementa trebalo bi osigurati pravilnu i reprezentativnu procjenu slojeva s različitim koncentracijama benzo[a]pirena.</w:t>
      </w:r>
      <w:hyperlink r:id="rId105" w:anchor="ntr28-C_2018124HR.01002101-E0028"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28</w:t>
        </w:r>
        <w:r w:rsidRPr="005203CE">
          <w:rPr>
            <w:rFonts w:ascii="inherit" w:eastAsia="Times New Roman" w:hAnsi="inherit" w:cs="Times New Roman"/>
            <w:color w:val="0000FF"/>
            <w:szCs w:val="24"/>
            <w:u w:val="single"/>
            <w:lang w:eastAsia="hr-HR"/>
          </w:rPr>
          <w:t>)</w:t>
        </w:r>
      </w:hyperlink>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1.4.6.   </w:t>
      </w:r>
      <w:r w:rsidRPr="005203CE">
        <w:rPr>
          <w:rFonts w:ascii="inherit" w:eastAsia="Times New Roman" w:hAnsi="inherit" w:cs="Times New Roman"/>
          <w:b/>
          <w:bCs/>
          <w:i/>
          <w:iCs/>
          <w:color w:val="000000"/>
          <w:szCs w:val="24"/>
          <w:lang w:eastAsia="hr-HR"/>
        </w:rPr>
        <w:t>Metali i legure</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sljedećem su primjeru navedene opće smjernice za razvrstavanje otpada koji sadržava metale i legure.</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Glavni izvor</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Metalni otpad nastaje u različitim sektorima, kao što su OEEO, dotrajala vozila, građevinarstvo i rušenje te u različitim industrijama.</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Primjenjivi unosi na Popisu otpada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 xml:space="preserve">Iako se unosi od 17 04 01 do 17 04 09* konkretno odnose na odvojene metale, u te bi unose trebalo rasporediti samo građevinski otpad i otpad od rušenja. Ako taj otpad nije onečišćen </w:t>
      </w:r>
      <w:r w:rsidRPr="005203CE">
        <w:rPr>
          <w:rFonts w:ascii="inherit" w:eastAsia="Times New Roman" w:hAnsi="inherit" w:cs="Times New Roman"/>
          <w:color w:val="000000"/>
          <w:szCs w:val="24"/>
          <w:lang w:eastAsia="hr-HR"/>
        </w:rPr>
        <w:lastRenderedPageBreak/>
        <w:t>opasnim tvarima (vanjsko onečišćenje, primjerice bojom) koje nisu povezane sa samim metalom ili legurom, može se rasporediti u MNH unose od 17 04 01 do 17 04 07 u skladu s metalnim sastavom otpada. U suprotnom je primjenjiv unos za zrcalni opasan otpad 17 04 09*.</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Ako predmetni otpad ne potječe iz građevinarstva ili rušenja, primjenjiva su druga poglavlja s Popisa otpada, npr. u slučaju metalnog otpada iz površinske obrade, primjenjuje se potpoglavlje 12 01 (otpad od oblikovanja i fizičke i mehaničke površinske obrade metala i plastike).</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svakom je slučaju otpad potrebno rasporediti u najprikladniji unos s Popisa otpada u skladu s redoslijedom iz odjeljka 1.2.</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Zbog toga se metalni otpad iz postrojenja za gospodarenje otpadom ne može rasporediti u unose iz poglavlja 17 s Popisa otpada, ali može se uvrstiti, među ostalim, u sljedeće unose koji služe kao primjer:</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16"/>
        <w:gridCol w:w="7833"/>
        <w:gridCol w:w="507"/>
      </w:tblGrid>
      <w:tr w:rsidR="005203CE" w:rsidRPr="005203CE" w:rsidTr="005203CE">
        <w:trPr>
          <w:gridAfter w:val="2"/>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color w:val="000000"/>
                <w:szCs w:val="24"/>
                <w:lang w:eastAsia="hr-HR"/>
              </w:rPr>
            </w:pPr>
          </w:p>
        </w:tc>
      </w:tr>
      <w:tr w:rsidR="005203CE" w:rsidRPr="005203CE" w:rsidTr="005203CE">
        <w:trPr>
          <w:gridAfter w:val="2"/>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usitnjavanja otpada koji sadržava metale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19 10 01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željeza i čelika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19 10 02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obojenih metala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10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ostale frakcije koje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MH</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mehaničke obrade otpada (npr. izdvajanja, drobljenja, kompaktiranja, peletiziranja) koji nije specificiran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19 12 02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željezni metali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19 12 03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obojeni metali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12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ostali otpad (uključujući mješavine materijala) od mehaničke obrade otpada, koji sadržava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MH</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Osim toga, određeni neopasni unosi za metale postoje u poglavljima Popisa otpada 15 (ambalažni otpad) i 20 (komunalni otpad).</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Aspekti koje treba razmotriti pri razvrstavanju otpada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Čiste legure metala izričito su isključene iz razvrstavanja u opasne unose na Popisu otpada: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„Granične vrijednosti koncentracije navedene u Prilogu III. Direktivi 2008/98/EZ ne primjenjuju se na čiste legure metala u čvrstom stanju (kada nisu kontaminirane opasnim tvarima). Legure otpada koje se smatraju opasnim otpadom posebno su nabrojene na ovom popisu i označene zvjezdicom (*).”</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 xml:space="preserve">Osim toga, trebalo bi obratiti posebnu pozornost kako bi se izbjeglo pogrešno razvrstavanje otpadnih metala kao otpada. Uredbom Vijeća (EU) br. 333/2011 uspostavljeni su kriteriji za određivanje trenutka kad određene vrste otpadnog metala (željezni, čelični i aluminijski otpad) prestaju biti otpad. Slično zakonodavstvo postoji i za bakreni otpad (Uredba Komisije (EU) </w:t>
      </w:r>
      <w:r w:rsidRPr="005203CE">
        <w:rPr>
          <w:rFonts w:ascii="inherit" w:eastAsia="Times New Roman" w:hAnsi="inherit" w:cs="Times New Roman"/>
          <w:color w:val="000000"/>
          <w:szCs w:val="24"/>
          <w:lang w:eastAsia="hr-HR"/>
        </w:rPr>
        <w:lastRenderedPageBreak/>
        <w:t>br. 715/2013). Operateri mogu sami odlučiti hoće li se koristiti tim statusom za metalni otpad koji ispunjava predmetne kriterije prema kojima prestaje biti otpad. Ako ispunjavaju relevantne kriterije, metali/legure ne mogu se smatrati otpadom u smislu ODO-a, a razvrstavanje na temelju ovih tehničkih smjernica nije primjenjivo.</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Za masivne se metale vjerojatno neće upotrebljavati unosi za opasni otpad, osim ako postoji znatna naznaka da su metalne frakcije u postupku obrade onečišćene nemetalnim opasnim tvarima, zbog čega otpad pokazuje opasna svojstva.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Samo legure koje se u svojem masivnom obliku izričito navode kao opasne ili onečišćene nemetalnim opasnim tvarima treba tretirati kao opasne. U skladu sa Smjernicama Ujedinjene Kraljevine jedina „legura” koja je konkretno navedena na Popisu otpada i raspoređena u AH unos jest:</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667"/>
        <w:gridCol w:w="6751"/>
        <w:gridCol w:w="638"/>
      </w:tblGrid>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18 01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amalgamski otpad iz stomatološke zaštite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AH</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Treba napomenuti da se na dijagramima toka za procjenu opasnih svojstava iz Priloga 3. ne navodi izričito da se granične vrijednosti koncentracija definirane u Prilogu III. ODO-u ne primjenjuju na čiste legure metala u njihovu masivnom obliku.</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1.4.7.   </w:t>
      </w:r>
      <w:r w:rsidRPr="005203CE">
        <w:rPr>
          <w:rFonts w:ascii="inherit" w:eastAsia="Times New Roman" w:hAnsi="inherit" w:cs="Times New Roman"/>
          <w:b/>
          <w:bCs/>
          <w:i/>
          <w:iCs/>
          <w:color w:val="000000"/>
          <w:szCs w:val="24"/>
          <w:lang w:eastAsia="hr-HR"/>
        </w:rPr>
        <w:t>Organski peroksidi</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sljedećem su primjeru navedene opće smjernice za razvrstavanje otpada koji sadržava organske perokside.</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Opće informacije</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Uredbi CLP organski peroksidi definirani su u odjeljku 2.15. Priloga I.:</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„Organski peroksidi su tekuće i krute organske tvari koje sadrže bivalentnu strukturu -O-O- i koji se mogu smatrati derivatima vodikovog peroksida kod kojih su jedan ili oba vodikova atoma zamijenjena organskim radikalima. Izraz ‚organski peroksid’ obuhvaća smjese (formulacije) organskog peroksida koje sadrže najmanje jedan organski peroksid. Organski peroksidi su termički nestabilne tvari i smjese koje mogu biti podložne egzotermnom samoubrzavajućem raspadanju. Osim toga, oni mogu imati jedno ili više od sljedećih svojstava:</w:t>
      </w:r>
    </w:p>
    <w:tbl>
      <w:tblPr>
        <w:tblW w:w="5000" w:type="pct"/>
        <w:tblCellSpacing w:w="0" w:type="dxa"/>
        <w:tblCellMar>
          <w:left w:w="0" w:type="dxa"/>
          <w:right w:w="0" w:type="dxa"/>
        </w:tblCellMar>
        <w:tblLook w:val="04A0" w:firstRow="1" w:lastRow="0" w:firstColumn="1" w:lastColumn="0" w:noHBand="0" w:noVBand="1"/>
      </w:tblPr>
      <w:tblGrid>
        <w:gridCol w:w="573"/>
        <w:gridCol w:w="8499"/>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i/>
                <w:iCs/>
                <w:szCs w:val="24"/>
                <w:lang w:eastAsia="hr-HR"/>
              </w:rPr>
              <w:t>i. sklonost eksplozivnom raspadanju;</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414"/>
        <w:gridCol w:w="7658"/>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i/>
                <w:iCs/>
                <w:szCs w:val="24"/>
                <w:lang w:eastAsia="hr-HR"/>
              </w:rPr>
              <w:t>brzo gorenje;</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695"/>
        <w:gridCol w:w="8377"/>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i/>
                <w:iCs/>
                <w:szCs w:val="24"/>
                <w:lang w:eastAsia="hr-HR"/>
              </w:rPr>
              <w:t>osjetljivost na udarce i trenje;</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595"/>
        <w:gridCol w:w="8477"/>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i/>
                <w:iCs/>
                <w:szCs w:val="24"/>
                <w:lang w:eastAsia="hr-HR"/>
              </w:rPr>
              <w:t>opasne reakcije s drugim tvarima.”</w:t>
            </w:r>
          </w:p>
        </w:tc>
      </w:tr>
    </w:tbl>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Glavni izvor</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Industrije plastike i gume veliki su potrošači organskih peroksida. Organski peroksidi i mješavine koje sadržavaju organske perokside upotrebljavaju se kao, primjerice, ubrzivači, aktivatori, katalizatori, sredstva za međusobno vezivanje, vulkanizacijski agensi, otvrdnjivači, pokretači i pospješivači. Mogu se upotrebljavati i kao sredstva za izbjeljivanje (npr. izbjeljivanje brašna), kao aktivni farmaceutski sastojci i sinergisti za usporivače gorenja.</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Primjenjivi unosi na Popisu otpada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lastRenderedPageBreak/>
        <w:t>Otpad koji sadržava organske perokside mogao bi se rasporediti u brojne unose. U nastavku se nalazi neiscrpan popis primjenjivih unosa.</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528"/>
        <w:gridCol w:w="6944"/>
        <w:gridCol w:w="584"/>
      </w:tblGrid>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09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peroksidi, na primjer vodikov peroksid</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09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oksidansi koji nisu specificirani na drugi način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AH</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Svi su prethodno navedeni unosi apsolutno opasni unosi, što znači da nije potrebna procjena opasnih svojstava kako bi se utvrdilo treba li otpad razvrstati kao opasan ako se otpad koji sadržava organske perokside rasporedi u jedan od tih unosa. Međutim, procjena opasnih svojstava ipak će biti potrebna, primjerice radi ispunjavanja tovarnog lista.</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Aspekti koje treba razmotriti pri razvrstavanju otpada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Za odabir između MH ili MNH unosa u području organskih peroksida najrelevantnija su opasna svojstva HP 1 i HP 3.</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Pri utvrđivanju svojstva HP 1 „Eksplozivno” (odjeljak 3.1. Priloga 3.) treba uzeti u obzir gornje granične vrijednosti za organske perokside. Otpad koji sadržava organske perokside označene šifrom oznake upozorenja H240 ili H241 treba procijeniti u odnosu na svojstvo HP 1, osim ako su točne sljedeće izjave:</w:t>
      </w: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nije prisutna ni jedna druga opasna tvar sa šifrom oznake upozorenja navedenom u tablici 8. (vidjeti odjeljak 3.1. Priloga 3.) i</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ispunjen je jedan od sljedećih dvaju uvjeta:</w:t>
            </w:r>
          </w:p>
          <w:tbl>
            <w:tblPr>
              <w:tblW w:w="5000" w:type="pct"/>
              <w:tblCellSpacing w:w="0" w:type="dxa"/>
              <w:tblCellMar>
                <w:left w:w="0" w:type="dxa"/>
                <w:right w:w="0" w:type="dxa"/>
              </w:tblCellMar>
              <w:tblLook w:val="04A0" w:firstRow="1" w:lastRow="0" w:firstColumn="1" w:lastColumn="0" w:noHBand="0" w:noVBand="1"/>
            </w:tblPr>
            <w:tblGrid>
              <w:gridCol w:w="240"/>
              <w:gridCol w:w="8592"/>
            </w:tblGrid>
            <w:tr w:rsidR="005203CE" w:rsidRP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otpad sadržava &gt; 1 % ali ≤ 7 % vodikova peroksida, a dostupan sadržaj kisika (O</w:t>
                  </w:r>
                  <w:r w:rsidRPr="005203CE">
                    <w:rPr>
                      <w:rFonts w:ascii="inherit" w:eastAsia="Times New Roman" w:hAnsi="inherit" w:cs="Times New Roman"/>
                      <w:sz w:val="17"/>
                      <w:szCs w:val="17"/>
                      <w:vertAlign w:val="subscript"/>
                      <w:lang w:eastAsia="hr-HR"/>
                    </w:rPr>
                    <w:t>i</w:t>
                  </w:r>
                  <w:r w:rsidRPr="005203CE">
                    <w:rPr>
                      <w:rFonts w:ascii="inherit" w:eastAsia="Times New Roman" w:hAnsi="inherit" w:cs="Times New Roman"/>
                      <w:szCs w:val="24"/>
                      <w:lang w:eastAsia="hr-HR"/>
                    </w:rPr>
                    <w:t>) u organskom peroksidu iznosi ≤ 0.5 %;</w:t>
                  </w:r>
                </w:p>
              </w:tc>
            </w:tr>
          </w:tbl>
          <w:p w:rsidR="005203CE" w:rsidRPr="005203CE" w:rsidRDefault="005203CE" w:rsidP="005203CE">
            <w:pPr>
              <w:spacing w:after="0" w:line="240" w:lineRule="auto"/>
              <w:rPr>
                <w:rFonts w:ascii="inherit" w:eastAsia="Times New Roman" w:hAnsi="inherit"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0"/>
              <w:gridCol w:w="8592"/>
            </w:tblGrid>
            <w:tr w:rsidR="005203CE" w:rsidRP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otpad sadržava ≤ 1 % vodikova peroksida, a dostupan sadržaj kisika (O</w:t>
                  </w:r>
                  <w:r w:rsidRPr="005203CE">
                    <w:rPr>
                      <w:rFonts w:ascii="inherit" w:eastAsia="Times New Roman" w:hAnsi="inherit" w:cs="Times New Roman"/>
                      <w:sz w:val="17"/>
                      <w:szCs w:val="17"/>
                      <w:vertAlign w:val="subscript"/>
                      <w:lang w:eastAsia="hr-HR"/>
                    </w:rPr>
                    <w:t>i</w:t>
                  </w:r>
                  <w:r w:rsidRPr="005203CE">
                    <w:rPr>
                      <w:rFonts w:ascii="inherit" w:eastAsia="Times New Roman" w:hAnsi="inherit" w:cs="Times New Roman"/>
                      <w:szCs w:val="24"/>
                      <w:lang w:eastAsia="hr-HR"/>
                    </w:rPr>
                    <w:t>) u organskom peroksidu iznosi ≤ 1 %.</w:t>
                  </w:r>
                </w:p>
              </w:tc>
            </w:tr>
          </w:tbl>
          <w:p w:rsidR="005203CE" w:rsidRPr="005203CE" w:rsidRDefault="005203CE" w:rsidP="005203CE">
            <w:pPr>
              <w:spacing w:after="0" w:line="240" w:lineRule="auto"/>
              <w:rPr>
                <w:rFonts w:ascii="inherit" w:eastAsia="Times New Roman" w:hAnsi="inherit" w:cs="Times New Roman"/>
                <w:szCs w:val="24"/>
                <w:lang w:eastAsia="hr-HR"/>
              </w:rPr>
            </w:pP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Dostupan sadržaj kisika, O</w:t>
      </w:r>
      <w:r w:rsidRPr="005203CE">
        <w:rPr>
          <w:rFonts w:ascii="inherit" w:eastAsia="Times New Roman" w:hAnsi="inherit" w:cs="Times New Roman"/>
          <w:color w:val="000000"/>
          <w:sz w:val="17"/>
          <w:szCs w:val="17"/>
          <w:vertAlign w:val="subscript"/>
          <w:lang w:eastAsia="hr-HR"/>
        </w:rPr>
        <w:t>i</w:t>
      </w:r>
      <w:r w:rsidRPr="005203CE">
        <w:rPr>
          <w:rFonts w:ascii="inherit" w:eastAsia="Times New Roman" w:hAnsi="inherit" w:cs="Times New Roman"/>
          <w:color w:val="000000"/>
          <w:szCs w:val="24"/>
          <w:lang w:eastAsia="hr-HR"/>
        </w:rPr>
        <w:t> (%), za sve organske perokside mora se izračunavati u skladu s odjeljkom 2.15. Priloga I. Uredbi CLP:</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w:t>
      </w:r>
      <w:r w:rsidRPr="005203CE">
        <w:rPr>
          <w:rFonts w:ascii="inherit" w:eastAsia="Times New Roman" w:hAnsi="inherit" w:cs="Times New Roman"/>
          <w:color w:val="000000"/>
          <w:sz w:val="17"/>
          <w:szCs w:val="17"/>
          <w:vertAlign w:val="subscript"/>
          <w:lang w:eastAsia="hr-HR"/>
        </w:rPr>
        <w:t>i</w:t>
      </w:r>
      <w:r w:rsidRPr="005203CE">
        <w:rPr>
          <w:rFonts w:ascii="inherit" w:eastAsia="Times New Roman" w:hAnsi="inherit" w:cs="Times New Roman"/>
          <w:color w:val="000000"/>
          <w:szCs w:val="24"/>
          <w:lang w:eastAsia="hr-HR"/>
        </w:rPr>
        <w:t> (%) = Σ (16 × (ni × ci / mi))</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pri čemu je:</w:t>
      </w:r>
    </w:p>
    <w:tbl>
      <w:tblPr>
        <w:tblW w:w="5000" w:type="pct"/>
        <w:tblCellSpacing w:w="0" w:type="dxa"/>
        <w:tblCellMar>
          <w:left w:w="0" w:type="dxa"/>
          <w:right w:w="0" w:type="dxa"/>
        </w:tblCellMar>
        <w:tblLook w:val="04A0" w:firstRow="1" w:lastRow="0" w:firstColumn="1" w:lastColumn="0" w:noHBand="0" w:noVBand="1"/>
      </w:tblPr>
      <w:tblGrid>
        <w:gridCol w:w="88"/>
        <w:gridCol w:w="8984"/>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ni: broj peroksidnih skupina po molekuli organskog peroksida </w:t>
            </w:r>
            <w:r w:rsidRPr="005203CE">
              <w:rPr>
                <w:rFonts w:ascii="inherit" w:eastAsia="Times New Roman" w:hAnsi="inherit" w:cs="Times New Roman"/>
                <w:i/>
                <w:iCs/>
                <w:szCs w:val="24"/>
                <w:lang w:eastAsia="hr-HR"/>
              </w:rPr>
              <w:t>i</w:t>
            </w:r>
            <w:r w:rsidRPr="005203CE">
              <w:rPr>
                <w:rFonts w:ascii="inherit" w:eastAsia="Times New Roman" w:hAnsi="inherit" w:cs="Times New Roman"/>
                <w:szCs w:val="24"/>
                <w:lang w:eastAsia="hr-HR"/>
              </w:rPr>
              <w:t>,</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92"/>
        <w:gridCol w:w="8980"/>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ci: koncentracija (maseni %) organskog peroksida </w:t>
            </w:r>
            <w:r w:rsidRPr="005203CE">
              <w:rPr>
                <w:rFonts w:ascii="inherit" w:eastAsia="Times New Roman" w:hAnsi="inherit" w:cs="Times New Roman"/>
                <w:i/>
                <w:iCs/>
                <w:szCs w:val="24"/>
                <w:lang w:eastAsia="hr-HR"/>
              </w:rPr>
              <w:t>i</w:t>
            </w:r>
            <w:r w:rsidRPr="005203CE">
              <w:rPr>
                <w:rFonts w:ascii="inherit" w:eastAsia="Times New Roman" w:hAnsi="inherit" w:cs="Times New Roman"/>
                <w:szCs w:val="24"/>
                <w:lang w:eastAsia="hr-HR"/>
              </w:rPr>
              <w:t> u otpadu,</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09"/>
        <w:gridCol w:w="8963"/>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mi: gram molekularna masa organskog peroksida </w:t>
            </w:r>
            <w:r w:rsidRPr="005203CE">
              <w:rPr>
                <w:rFonts w:ascii="inherit" w:eastAsia="Times New Roman" w:hAnsi="inherit" w:cs="Times New Roman"/>
                <w:i/>
                <w:iCs/>
                <w:szCs w:val="24"/>
                <w:lang w:eastAsia="hr-HR"/>
              </w:rPr>
              <w:t>i</w:t>
            </w:r>
            <w:r w:rsidRPr="005203CE">
              <w:rPr>
                <w:rFonts w:ascii="inherit" w:eastAsia="Times New Roman" w:hAnsi="inherit" w:cs="Times New Roman"/>
                <w:szCs w:val="24"/>
                <w:lang w:eastAsia="hr-HR"/>
              </w:rPr>
              <w:t>.</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60"/>
        <w:gridCol w:w="901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Oznaka „Σ” znači da se, ako otpad sadržava više od jednog organskog peroksida, zbraja dostupan kisik iz svakog od njih. To uključuje sve organske perokside i nije ograničeno na one razvrstane kao H240 ili H241.</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Smjernicama Ujedinjene Kraljevine naveden je primjer izračuna za metil etil peroksid koji je prikazan u nastavku. Otpad sadržava 2,9 % metil etil peroksida (C</w:t>
      </w:r>
      <w:r w:rsidRPr="005203CE">
        <w:rPr>
          <w:rFonts w:ascii="inherit" w:eastAsia="Times New Roman" w:hAnsi="inherit" w:cs="Times New Roman"/>
          <w:color w:val="000000"/>
          <w:sz w:val="17"/>
          <w:szCs w:val="17"/>
          <w:vertAlign w:val="subscript"/>
          <w:lang w:eastAsia="hr-HR"/>
        </w:rPr>
        <w:t>2</w:t>
      </w:r>
      <w:r w:rsidRPr="005203CE">
        <w:rPr>
          <w:rFonts w:ascii="inherit" w:eastAsia="Times New Roman" w:hAnsi="inherit" w:cs="Times New Roman"/>
          <w:color w:val="000000"/>
          <w:szCs w:val="24"/>
          <w:lang w:eastAsia="hr-HR"/>
        </w:rPr>
        <w:t>H</w:t>
      </w:r>
      <w:r w:rsidRPr="005203CE">
        <w:rPr>
          <w:rFonts w:ascii="inherit" w:eastAsia="Times New Roman" w:hAnsi="inherit" w:cs="Times New Roman"/>
          <w:color w:val="000000"/>
          <w:sz w:val="17"/>
          <w:szCs w:val="17"/>
          <w:vertAlign w:val="subscript"/>
          <w:lang w:eastAsia="hr-HR"/>
        </w:rPr>
        <w:t>5</w:t>
      </w:r>
      <w:r w:rsidRPr="005203CE">
        <w:rPr>
          <w:rFonts w:ascii="inherit" w:eastAsia="Times New Roman" w:hAnsi="inherit" w:cs="Times New Roman"/>
          <w:color w:val="000000"/>
          <w:szCs w:val="24"/>
          <w:lang w:eastAsia="hr-HR"/>
        </w:rPr>
        <w:t>-O-O-CH</w:t>
      </w:r>
      <w:r w:rsidRPr="005203CE">
        <w:rPr>
          <w:rFonts w:ascii="inherit" w:eastAsia="Times New Roman" w:hAnsi="inherit" w:cs="Times New Roman"/>
          <w:color w:val="000000"/>
          <w:sz w:val="17"/>
          <w:szCs w:val="17"/>
          <w:vertAlign w:val="subscript"/>
          <w:lang w:eastAsia="hr-HR"/>
        </w:rPr>
        <w:t>3</w:t>
      </w:r>
      <w:r w:rsidRPr="005203CE">
        <w:rPr>
          <w:rFonts w:ascii="inherit" w:eastAsia="Times New Roman" w:hAnsi="inherit" w:cs="Times New Roman"/>
          <w:color w:val="000000"/>
          <w:szCs w:val="24"/>
          <w:lang w:eastAsia="hr-HR"/>
        </w:rPr>
        <w:t xml:space="preserve">) i 3 % vodikova peroksida. Koncentracija vodikova peroksida iznosi &gt; 1 % i ≤ 7 % (vidjeti prethodno navedene kriterije). Metil etil peroksid ima molekularnu masu od 76 g (stoga vrijednost „mi” iznosi 76) i prisutna je jedna funkcionalna skupina peroksida (stoga vrijednost „ni” iznosi 1). </w:t>
      </w:r>
      <w:r w:rsidRPr="005203CE">
        <w:rPr>
          <w:rFonts w:ascii="inherit" w:eastAsia="Times New Roman" w:hAnsi="inherit" w:cs="Times New Roman"/>
          <w:color w:val="000000"/>
          <w:szCs w:val="24"/>
          <w:lang w:eastAsia="hr-HR"/>
        </w:rPr>
        <w:lastRenderedPageBreak/>
        <w:t>Kad se te vrijednosti primijene u formuli „O</w:t>
      </w:r>
      <w:r w:rsidRPr="005203CE">
        <w:rPr>
          <w:rFonts w:ascii="inherit" w:eastAsia="Times New Roman" w:hAnsi="inherit" w:cs="Times New Roman"/>
          <w:color w:val="000000"/>
          <w:sz w:val="17"/>
          <w:szCs w:val="17"/>
          <w:vertAlign w:val="subscript"/>
          <w:lang w:eastAsia="hr-HR"/>
        </w:rPr>
        <w:t>i</w:t>
      </w:r>
      <w:r w:rsidRPr="005203CE">
        <w:rPr>
          <w:rFonts w:ascii="inherit" w:eastAsia="Times New Roman" w:hAnsi="inherit" w:cs="Times New Roman"/>
          <w:color w:val="000000"/>
          <w:szCs w:val="24"/>
          <w:lang w:eastAsia="hr-HR"/>
        </w:rPr>
        <w:t> (%) = Σ (16 × (ni × ci / mi))” za koncentraciju („ci”) od 2,9 % u otpadu, metil etil peroksid ima dostupan sadržaj kisika (O</w:t>
      </w:r>
      <w:r w:rsidRPr="005203CE">
        <w:rPr>
          <w:rFonts w:ascii="inherit" w:eastAsia="Times New Roman" w:hAnsi="inherit" w:cs="Times New Roman"/>
          <w:color w:val="000000"/>
          <w:sz w:val="17"/>
          <w:szCs w:val="17"/>
          <w:vertAlign w:val="subscript"/>
          <w:lang w:eastAsia="hr-HR"/>
        </w:rPr>
        <w:t>i</w:t>
      </w:r>
      <w:r w:rsidRPr="005203CE">
        <w:rPr>
          <w:rFonts w:ascii="inherit" w:eastAsia="Times New Roman" w:hAnsi="inherit" w:cs="Times New Roman"/>
          <w:color w:val="000000"/>
          <w:szCs w:val="24"/>
          <w:lang w:eastAsia="hr-HR"/>
        </w:rPr>
        <w:t>) od 0,61 % (16 × 1 × 2,9 / 76). Ta je vrijednost viša od granične vrijednosti za dostupni kisik od 0,5 % za kriterij (i), pa je potrebno dodijeliti oznaku HP 1.</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Organski peroksidi moraju se osobito uzeti u obzir pri utvrđivanju svojstva HP 3 „zapaljivo”. Otpad koji sadržava samoreagirajuće tvari ili organske perokside razvrstane kao H240 ili H241 može pokazivati opasno svojstvo HP 3 „Zapaljivo” kao rezultat procjene svojstva HP 1 „Eksplozivno”, zbog čega se cjelokupni otpad razvrstava kao H242. Pogledajte odjeljak 3.3. za dodatne informacije.</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Dodatne smjernice o organskim peroksidima u skladu s Uredbom CLP dostupne su izravno u toj uredbi ili u njezinim odgovarajućim tehničkim smjernicama (dalje u tekstu „Smjernice ECHA-e o CLP-u”).</w:t>
      </w:r>
      <w:hyperlink r:id="rId106" w:anchor="ntr29-C_2018124HR.01002101-E0029"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29</w:t>
        </w:r>
        <w:r w:rsidRPr="005203CE">
          <w:rPr>
            <w:rFonts w:ascii="inherit" w:eastAsia="Times New Roman" w:hAnsi="inherit" w:cs="Times New Roman"/>
            <w:color w:val="0000FF"/>
            <w:szCs w:val="24"/>
            <w:u w:val="single"/>
            <w:lang w:eastAsia="hr-HR"/>
          </w:rPr>
          <w:t>)</w:t>
        </w:r>
      </w:hyperlink>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1.4.8.   </w:t>
      </w:r>
      <w:r w:rsidRPr="005203CE">
        <w:rPr>
          <w:rFonts w:ascii="inherit" w:eastAsia="Times New Roman" w:hAnsi="inherit" w:cs="Times New Roman"/>
          <w:b/>
          <w:bCs/>
          <w:i/>
          <w:iCs/>
          <w:color w:val="000000"/>
          <w:szCs w:val="24"/>
          <w:lang w:eastAsia="hr-HR"/>
        </w:rPr>
        <w:t>Gumeni otpad</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sljedećem su primjeru navedene opće smjernice za razvrstavanje gumenog otpada.</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Opće informacije</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Gumeni otpad uglavnom čine dotrajali proizvodi preostali nakon upotrebe pneumatskih guma i gumene robe široke potrošnje.</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Glavni izvor</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Godišnja je proizvodnja pneumatskih guma i gumenih proizvoda široke potrošnje 2013. iznosila otprilike 4,67 milijuna tona odnosno otprilike 2,57 milijuna tona. Od pneumatskih guma i gumene robe široke potrošnje nastaju znatne količine gumenog otpada. Količina istrošenih guma 2012. iznosila je 2 765 kt. Za gumenu robu široke potrošnje nisu dostupne konkretne informacije.</w:t>
      </w:r>
      <w:hyperlink r:id="rId107" w:anchor="ntr30-C_2018124HR.01002101-E0030"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30</w:t>
        </w:r>
        <w:r w:rsidRPr="005203CE">
          <w:rPr>
            <w:rFonts w:ascii="inherit" w:eastAsia="Times New Roman" w:hAnsi="inherit" w:cs="Times New Roman"/>
            <w:color w:val="0000FF"/>
            <w:szCs w:val="24"/>
            <w:u w:val="single"/>
            <w:lang w:eastAsia="hr-HR"/>
          </w:rPr>
          <w:t>)</w:t>
        </w:r>
      </w:hyperlink>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Primjenjivi unosi na Popisu otpada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nastavku se nalazi neiscrpan popis glavnih unosa primjenjivih na otpad koji sadržava gumu i pneumatske gume (i drugi organski otpad):</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481"/>
        <w:gridCol w:w="6690"/>
        <w:gridCol w:w="885"/>
      </w:tblGrid>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16 01 03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istrošene gume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03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organski otpad koji sadržava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16 03 06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organski otpad koji nije naveden pod 16 03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19 12 04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plastika i guma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ANH</w:t>
            </w:r>
          </w:p>
        </w:tc>
      </w:tr>
    </w:tbl>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Aspekti koje treba razmotriti pri razvrstavanju otpada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Većina gumenog otpada raspoređuje se u ANH unose. Oznaka otpada 16 03 06 zrcalni je neopasni unos za zrcalni opasni unos 16 03 05* (organski otpad koji sadržava opasne tvari) iz poglavlja 16 (otpad koji nije specificiran drugdje na popisu) potpoglavlja 16 03 (serije koje ne udovoljavaju specifikaciji i nekorišteni proizvodi). Taj opasan unos može se upotrijebiti za neiskorištene gumene proizvode s uljima ili otapalima ili za onečišćene serije gume koje ne udovoljavaju specifikaciji i onečišćene su, primjerice, uljima i otapalima. U krajnjem se slučaju gumeni otpad iz proizvodnje, formulacije, opskrbe i uporabe plastike, sintetičke gume i umjetnih vlakana može rasporediti u oznaku otpada 07 02 99.</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1.4.9.   </w:t>
      </w:r>
      <w:r w:rsidRPr="005203CE">
        <w:rPr>
          <w:rFonts w:ascii="inherit" w:eastAsia="Times New Roman" w:hAnsi="inherit" w:cs="Times New Roman"/>
          <w:b/>
          <w:bCs/>
          <w:i/>
          <w:iCs/>
          <w:color w:val="000000"/>
          <w:szCs w:val="24"/>
          <w:lang w:eastAsia="hr-HR"/>
        </w:rPr>
        <w:t>Plastični otpad</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lastRenderedPageBreak/>
        <w:t>U sljedećem su primjeru navedene opće smjernice za razvrstavanje plastičnog otpada.</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Opće informacije</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Plastični materijal je organska kruta tvar koju u osnovi čini mješavina polimera ili kombinacije polimera velike molekularne mase i drugih tvari kao što su aditivi, stabilizatori, punila itd. Polimer je lanac od brojnih molekularnih jedinica monomera koje se ponavljaju. Monomere plastike čine prirodni ili sintetički organski spojevi. Kao istoznačnica za komercijalne polimere katkad se upotrebljava pojam „smola”.</w:t>
      </w:r>
      <w:hyperlink r:id="rId108" w:anchor="ntr31-C_2018124HR.01002101-E0031"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31</w:t>
        </w:r>
        <w:r w:rsidRPr="005203CE">
          <w:rPr>
            <w:rFonts w:ascii="inherit" w:eastAsia="Times New Roman" w:hAnsi="inherit" w:cs="Times New Roman"/>
            <w:color w:val="0000FF"/>
            <w:szCs w:val="24"/>
            <w:u w:val="single"/>
            <w:lang w:eastAsia="hr-HR"/>
          </w:rPr>
          <w:t>)</w:t>
        </w:r>
      </w:hyperlink>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Glavni izvor</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EU je jedan od glavnih svjetskih proizvođača plastike, koje je 2012. proizveo oko 57 milijuna tona. Potražnja prerađivača plastike u EU-u 2012. iznosila je oko 46 milijuna tona, a količina plastičnog otpada nakon upotrebe oko 25 milijuna tona.</w:t>
      </w:r>
      <w:hyperlink r:id="rId109" w:anchor="ntr32-C_2018124HR.01002101-E0032"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32</w:t>
        </w:r>
        <w:r w:rsidRPr="005203CE">
          <w:rPr>
            <w:rFonts w:ascii="inherit" w:eastAsia="Times New Roman" w:hAnsi="inherit" w:cs="Times New Roman"/>
            <w:color w:val="0000FF"/>
            <w:szCs w:val="24"/>
            <w:u w:val="single"/>
            <w:lang w:eastAsia="hr-HR"/>
          </w:rPr>
          <w:t>)</w:t>
        </w:r>
      </w:hyperlink>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Plastični otpad nastaje iz dotrajalih plastičnih proizvoda iz industrijske primjene ili primjene u kućanstvima. Plastični se otpad nakon upotrebe prije svega sastoji od plastičnog ambalažnog otpada. Drugi su važni sektori izgradnja i građevinarstvo, automobilska industrija, OEEO i poljoprivreda.</w:t>
      </w:r>
      <w:hyperlink r:id="rId110" w:anchor="ntr33-C_2018124HR.01002101-E0033"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33</w:t>
        </w:r>
        <w:r w:rsidRPr="005203CE">
          <w:rPr>
            <w:rFonts w:ascii="inherit" w:eastAsia="Times New Roman" w:hAnsi="inherit" w:cs="Times New Roman"/>
            <w:color w:val="0000FF"/>
            <w:szCs w:val="24"/>
            <w:u w:val="single"/>
            <w:lang w:eastAsia="hr-HR"/>
          </w:rPr>
          <w:t>)</w:t>
        </w:r>
      </w:hyperlink>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Primjenjivi unosi na Popisu otpada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nastavku se nalazi neiscrpan popis glavnih unosa primjenjivih na otpad koji sadržava plastiku:</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Ambalaža od plastike</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976"/>
        <w:gridCol w:w="7497"/>
        <w:gridCol w:w="583"/>
      </w:tblGrid>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15 01 02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ambalaža od plastike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15 01 05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višeslojna (kompozitna) ambalaža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15 01 06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miješana ambalaža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15 01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ambalaža koja sadržava ostatke opasnih tvari ili je onečišćena opasnim tvarima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MH</w:t>
            </w:r>
          </w:p>
        </w:tc>
      </w:tr>
    </w:tbl>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Plastični građevinski otpad i otpad od rušenja</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926"/>
        <w:gridCol w:w="7576"/>
        <w:gridCol w:w="554"/>
      </w:tblGrid>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17 02 03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plastika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02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staklo, plastika i drvo koji sadržavaju opasne tvari ili su onečišćeni opasnim tvarima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MH</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Unosi koji sadržavaju (ili mogu sadržavati) plastiku, ali se ne odnose isključivo na plastiku, kao što su:</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94"/>
        <w:gridCol w:w="7718"/>
        <w:gridCol w:w="544"/>
      </w:tblGrid>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04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kablovi koji sadržavaju ulje, ugljeni katran i druge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17 04 11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kablovi koji nisu navedeni pod 17 04 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06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ostali izolacijski materijali, koji se sastoje od opasnih tvari ili ih sadržavaju</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17 06 04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izolacijski materijali koji nisu navedeni pod 17 06 01 i 17 06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17 09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ostali građevinski otpad i otpad od rušenja objekata (uključujući miješani otpad), koji sadržava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lastRenderedPageBreak/>
              <w:t>17 09 04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miješani građevinski otpad i otpad od rušenja koji nije naveden pod 17 09 01, 17 09 02 i 17 09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MNH</w:t>
            </w:r>
          </w:p>
        </w:tc>
      </w:tr>
    </w:tbl>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Otpad od plastike za upotrebu u automobilskoj industriji</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301"/>
        <w:gridCol w:w="6977"/>
        <w:gridCol w:w="778"/>
      </w:tblGrid>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16 01 19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plastika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10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laka frakcija i prašina koje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19 10 04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laka frakcija i prašina koje nisu navedene pod 19 10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MNH</w:t>
            </w:r>
          </w:p>
        </w:tc>
      </w:tr>
    </w:tbl>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Plastični OEEO</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701"/>
        <w:gridCol w:w="4643"/>
        <w:gridCol w:w="1712"/>
      </w:tblGrid>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19 12 04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plastika i guma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ANH</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Unosi koji sadržavaju (ili mogu sadržavati) plastiku, ali se ne odnose isključivo na plastiku, kao što su:</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94"/>
        <w:gridCol w:w="7718"/>
        <w:gridCol w:w="544"/>
      </w:tblGrid>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02 15*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opasne komponente izvađene iz odbačene opreme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16 02 16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komponente izvađene iz odbačene opreme koje nisu navedene pod 16 02 15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10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laka frakcija i prašina koje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19 10 04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laka frakcija i prašina koje nisu navedene pod 19 10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10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ostale frakcije koje sadržavaju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19 10 06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ostale frakcije koje nisu navedene pod 19 10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12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ostali otpad (uključujući mješavine materijala) od mehaničke obrade otpada, koji sadržava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19 12 04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plastika i guma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19 12 12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ostali otpad (uključujući mješavine materijala) od mehaničke obrade otpada koji nije naveden pod 19 12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MNH</w:t>
            </w:r>
          </w:p>
        </w:tc>
      </w:tr>
    </w:tbl>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Poljoprivreda</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689"/>
        <w:gridCol w:w="6296"/>
        <w:gridCol w:w="1071"/>
      </w:tblGrid>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02 01 04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otpadna plastika (osim ambalaže)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ANH</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Osim u prethodno navedenim sektorima, dodatni se unosi za plastiku nalaze i u drugim poglavljima Popisa otpada. Primjeri su sljedeći:</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094"/>
        <w:gridCol w:w="7308"/>
        <w:gridCol w:w="654"/>
      </w:tblGrid>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07 02 13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otpadna plastika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02 16*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sadržava opasne silikone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07 02 17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koji sadržava silikone osim onog koji je naveden pod 07 02 16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12 01 05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strugotine i otpiljci od plastike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lastRenderedPageBreak/>
              <w:t>12 01 16*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od pjeskarenja koji sadržava opasne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12 01 17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otpadni materijal od pjeskarenja koji nije naveden pod 12 01 16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20 01 39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plastika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ANH</w:t>
            </w:r>
          </w:p>
        </w:tc>
      </w:tr>
    </w:tbl>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Aspekti koje treba razmotriti pri razvrstavanju otpada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Plastični materijali obično ne sadržavaju samo polimere, već i razne aditive u plastičnoj matrici koji poboljšavaju učinkovitost i svojstva primjene ili obrade konačnog proizvoda. Aditivi su zasebna skupina posebnih kemikalija koje se dodaju u plastičnu matricu prije ili tijekom obrade ili nanose na površinu konačnih proizvoda nakon obrade.</w:t>
      </w:r>
      <w:hyperlink r:id="rId111" w:anchor="ntr34-C_2018124HR.01002101-E0034"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34</w:t>
        </w:r>
        <w:r w:rsidRPr="005203CE">
          <w:rPr>
            <w:rFonts w:ascii="inherit" w:eastAsia="Times New Roman" w:hAnsi="inherit" w:cs="Times New Roman"/>
            <w:color w:val="0000FF"/>
            <w:szCs w:val="24"/>
            <w:u w:val="single"/>
            <w:lang w:eastAsia="hr-HR"/>
          </w:rPr>
          <w:t>)</w:t>
        </w:r>
      </w:hyperlink>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Određeni plastični otpad koji se može rasporediti u zrcalni unos može biti opasan ili zbog aditiva koje sadržava ili zbog toga što je onečišćen opasnim tvarima, npr. uljima ili otapalima.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Aditivi koji su obično važni za plastični otpad su, primjerice, stabilizatori ili pigmenti (npr. kadmij, krom, spojevi olova ili kositra, BPA, spojevi nonilfenola), usporivači gorenja (SCCP-i, MCCP-i, PBDE-i, HBCD-i itd.), plastifikatori (ftalati, SCCP-i, MCCP-i itd.) te niz drugih potencijalno sadržanih aditiva.</w:t>
      </w:r>
      <w:hyperlink r:id="rId112" w:anchor="ntr35-C_2018124HR.01002101-E0035"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35</w:t>
        </w:r>
        <w:r w:rsidRPr="005203CE">
          <w:rPr>
            <w:rFonts w:ascii="inherit" w:eastAsia="Times New Roman" w:hAnsi="inherit" w:cs="Times New Roman"/>
            <w:color w:val="0000FF"/>
            <w:szCs w:val="24"/>
            <w:u w:val="single"/>
            <w:lang w:eastAsia="hr-HR"/>
          </w:rPr>
          <w:t>)</w:t>
        </w:r>
      </w:hyperlink>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Treba napomenuti da oznaka otpada 15 01 10* može naznačivati opasnost zato što 1. je ambalaža opasna ako sadržava (najčešće neplastične) ostatke opasnih tvari ILI zato što 2. sam plastični materijal (od kojeg je proizvedeno pakiranje) sadržava opasne tvari (vidjeti i primjer za ambalažni otpad u odjeljku 1.3.1.).</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1.4.10.   </w:t>
      </w:r>
      <w:r w:rsidRPr="005203CE">
        <w:rPr>
          <w:rFonts w:ascii="inherit" w:eastAsia="Times New Roman" w:hAnsi="inherit" w:cs="Times New Roman"/>
          <w:b/>
          <w:bCs/>
          <w:i/>
          <w:iCs/>
          <w:color w:val="000000"/>
          <w:szCs w:val="24"/>
          <w:lang w:eastAsia="hr-HR"/>
        </w:rPr>
        <w:t>Otpad koji sadržava postojane organske onečišćujuće tvari (POP-ovi)</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sljedećem su primjeru navedene opće smjernice za razvrstavanje otpada koji sadržava POP-ove.</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Opće informacije</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Postojane organske onečišćujuće tvari su organske kemijske tvari. One posjeduju određenu kombinaciju fizikalnih i kemijskih svojstava tako da su dulje prisutne u okolišu nakon ispuštanja, široko se rasprostranjuju, nakupljaju se u masnom tkivu živih organizama uključujući ljude te su otrovne za ljude i biljni i životinjski svijet.</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Glavni izvor</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POP-ovi su skupina različitih tvari ili skupine tvari iz različitih izvora. Brojni su POP-ovi pesticidi ili industrijske kemikalije koji se proizvode ili su se proizvodili namjerno za razne tehničke ili poljoprivredne primjene. Drugi POP-ovi nastaju slučajno kao nusproizvod, npr. tijekom proizvodnje ili spaljivanja.</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Aspekti koje treba razmotriti pri razvrstavanju otpada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Stockholmska konvencija o POP-ovima i Protokol uz regionalnu Konvenciju UNECE-a o dalekosežnom prekograničnom onečišćenju zraka (CLRTAP) međunarodni su instrumenti s popisima POP-ova koji se neprestano nadopunjuju. Čim se nove tvari / skupine tvari prema Konvenciji razvrstaju kao POP-ovi, uvrštavaju se u Uredbu POP.</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 xml:space="preserve">Tom su uredbom utvrđene posebne odredbe za POP-ove koje se odnose na otpad. U skladu s člankom 7. Uredbe POP otpad koji se sastoji od postojanih organskih onečišćujućih tvari, sadržava takve tvari ili je njima onečišćen iznad određenih graničnih vrijednosti (granična vrijednost koncentracije iz članka 7. stavka 4. točke (a) –tzv. „donja granična vrijednost </w:t>
      </w:r>
      <w:r w:rsidRPr="005203CE">
        <w:rPr>
          <w:rFonts w:ascii="inherit" w:eastAsia="Times New Roman" w:hAnsi="inherit" w:cs="Times New Roman"/>
          <w:color w:val="000000"/>
          <w:szCs w:val="24"/>
          <w:lang w:eastAsia="hr-HR"/>
        </w:rPr>
        <w:lastRenderedPageBreak/>
        <w:t>sadržaja POP-ova”) mora se odmah odložiti ili oporabiti u skladu s odredbama utvrđenima u Uredbi POP na način koji osigurava da se sadržaj POP-ova uništi ili nepovratno transformira tako da preostali otpad ili ispuštene tvari ne pokazuju svojstva POP-ova. Zabranjuju se postupci odlaganja ili oporabe koji mogu dovesti do oporabe, recikliranja, regeneracije ili ponovne upotrebe POP-ova.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Prema Popisu otpada u slučaju zrcalnih unosa primjenjuje se sljedeće:</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„Otpad koji sadržava poliklorirane dibenzo-p-dioksine i dibenzofurane (PCDD/PCDF), DDT (1,1,1-trikloro-2,2-bis(4-klorofenil)etan), klordan, heksaklorocikloheksane (uključujući lindan), dieldrin, endrin, heptaklor, heksaklorobenzen, klordekon, aldrin, pentaklorobenzen, mireks, toksafen, heksabromobifenil i/ili PCB koji premašuju granične vrijednosti koncentracije navedene u Prilogu IV. Uredbi (EZ) br. 850/2004 Europskog parlamenta i Vijeća razvrstava se kao opasan.”</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Stoga se otpad koji sadržava POP-ove navedene na Popisu otpada (točka 2., treća alineja) u koncentracijama koje premašuju granične vrijednosti utvrđene Uredbom POP (vidjeti tablicu 7.) razvrstava kao opasan. Za otpad koji sadržava druge POP-ove opasnost se treba procijeniti primjenom graničnih vrijednosti koncentracija obuhvaćenih Prilogom III. ODO-u.</w:t>
      </w:r>
    </w:p>
    <w:p w:rsidR="005203CE" w:rsidRPr="005203CE" w:rsidRDefault="005203CE" w:rsidP="005203CE">
      <w:pPr>
        <w:spacing w:before="120" w:after="120" w:line="240" w:lineRule="auto"/>
        <w:jc w:val="center"/>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Tablica 7.</w:t>
      </w:r>
    </w:p>
    <w:p w:rsidR="005203CE" w:rsidRPr="005203CE" w:rsidRDefault="005203CE" w:rsidP="005203CE">
      <w:pPr>
        <w:spacing w:before="120" w:after="120" w:line="240" w:lineRule="auto"/>
        <w:jc w:val="center"/>
        <w:rPr>
          <w:rFonts w:ascii="inherit" w:eastAsia="Times New Roman" w:hAnsi="inherit" w:cs="Times New Roman"/>
          <w:color w:val="000000"/>
          <w:szCs w:val="24"/>
          <w:lang w:eastAsia="hr-HR"/>
        </w:rPr>
      </w:pPr>
      <w:r w:rsidRPr="005203CE">
        <w:rPr>
          <w:rFonts w:ascii="inherit" w:eastAsia="Times New Roman" w:hAnsi="inherit" w:cs="Times New Roman"/>
          <w:b/>
          <w:bCs/>
          <w:color w:val="000000"/>
          <w:szCs w:val="24"/>
          <w:lang w:eastAsia="hr-HR"/>
        </w:rPr>
        <w:t>Granične vrijednosti utvrđene Uredbom POP za POP-ove na Popisu otpada</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691"/>
        <w:gridCol w:w="1060"/>
        <w:gridCol w:w="703"/>
        <w:gridCol w:w="3602"/>
      </w:tblGrid>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Tvar</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CAS br.</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EZ br.</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Granične vrijednosti koncentracije iz članka 7. stavka 4. točke (a)</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Poliklorirani dibenzo-p-dioksini i dibenzofurani (PCDD/PCDF)</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15 μg/kg</w:t>
            </w:r>
            <w:hyperlink r:id="rId113" w:anchor="ntr36-C_2018124HR.01002101-E0036" w:history="1">
              <w:r w:rsidRPr="005203CE">
                <w:rPr>
                  <w:rFonts w:ascii="inherit" w:eastAsia="Times New Roman" w:hAnsi="inherit" w:cs="Times New Roman"/>
                  <w:color w:val="0000FF"/>
                  <w:sz w:val="22"/>
                  <w:szCs w:val="22"/>
                  <w:u w:val="single"/>
                  <w:lang w:eastAsia="hr-HR"/>
                </w:rPr>
                <w:t> (</w:t>
              </w:r>
              <w:r w:rsidRPr="005203CE">
                <w:rPr>
                  <w:rFonts w:ascii="inherit" w:eastAsia="Times New Roman" w:hAnsi="inherit" w:cs="Times New Roman"/>
                  <w:color w:val="0000FF"/>
                  <w:sz w:val="15"/>
                  <w:szCs w:val="15"/>
                  <w:u w:val="single"/>
                  <w:vertAlign w:val="superscript"/>
                  <w:lang w:eastAsia="hr-HR"/>
                </w:rPr>
                <w:t>36</w:t>
              </w:r>
              <w:r w:rsidRPr="005203CE">
                <w:rPr>
                  <w:rFonts w:ascii="inherit" w:eastAsia="Times New Roman" w:hAnsi="inherit" w:cs="Times New Roman"/>
                  <w:color w:val="0000FF"/>
                  <w:sz w:val="22"/>
                  <w:szCs w:val="22"/>
                  <w:u w:val="single"/>
                  <w:lang w:eastAsia="hr-HR"/>
                </w:rPr>
                <w:t>)</w:t>
              </w:r>
            </w:hyperlink>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DDT (1,1,1-trikloro-2,2-bis(4-klorofenil)etan)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50-29-3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200-024-3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50 mg/kg</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Klordan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57-74-9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200-349-0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50 mg/kg</w:t>
            </w:r>
          </w:p>
        </w:tc>
      </w:tr>
      <w:tr w:rsidR="005203CE" w:rsidRPr="005203CE" w:rsidTr="005203CE">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Heksaklorocikloheksani, uključujući lindan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58-89-9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210-168-9</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50 mg/kg</w:t>
            </w:r>
          </w:p>
        </w:tc>
      </w:tr>
      <w:tr w:rsidR="005203CE" w:rsidRPr="005203CE" w:rsidTr="005203CE">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319-84-6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200-401-2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r>
      <w:tr w:rsidR="005203CE" w:rsidRPr="005203CE" w:rsidTr="005203CE">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319-85-7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206-270-8</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r>
      <w:tr w:rsidR="005203CE" w:rsidRPr="005203CE" w:rsidTr="005203CE">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608-73-1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206-271-3</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Dieldrin C</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60-57-1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200-484-5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50 mg/kg</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Endrin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72-20-8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200-775-7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50 mg/kg</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Heptaklor</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76-44-8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200-962-3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50 mg/kg</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Heksaklorobenzen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118-74-1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200-273-9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50 mg/kg</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lastRenderedPageBreak/>
              <w:t>Klordekon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143-50-0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205-601-3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50 mg/kg</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Aldrin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309-00-2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206-215-8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50 mg/kg</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Pentaklorobenzen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608-93-5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210-172-5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50 mg/kg</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Poliklorirani bifenili (PCB)</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1336-36-3 i drugi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215-648-1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50 mg/kg</w:t>
            </w:r>
            <w:hyperlink r:id="rId114" w:anchor="ntr37-C_2018124HR.01002101-E0037" w:history="1">
              <w:r w:rsidRPr="005203CE">
                <w:rPr>
                  <w:rFonts w:ascii="inherit" w:eastAsia="Times New Roman" w:hAnsi="inherit" w:cs="Times New Roman"/>
                  <w:color w:val="0000FF"/>
                  <w:sz w:val="22"/>
                  <w:szCs w:val="22"/>
                  <w:u w:val="single"/>
                  <w:lang w:eastAsia="hr-HR"/>
                </w:rPr>
                <w:t> (</w:t>
              </w:r>
              <w:r w:rsidRPr="005203CE">
                <w:rPr>
                  <w:rFonts w:ascii="inherit" w:eastAsia="Times New Roman" w:hAnsi="inherit" w:cs="Times New Roman"/>
                  <w:color w:val="0000FF"/>
                  <w:sz w:val="15"/>
                  <w:szCs w:val="15"/>
                  <w:u w:val="single"/>
                  <w:vertAlign w:val="superscript"/>
                  <w:lang w:eastAsia="hr-HR"/>
                </w:rPr>
                <w:t>37</w:t>
              </w:r>
              <w:r w:rsidRPr="005203CE">
                <w:rPr>
                  <w:rFonts w:ascii="inherit" w:eastAsia="Times New Roman" w:hAnsi="inherit" w:cs="Times New Roman"/>
                  <w:color w:val="0000FF"/>
                  <w:sz w:val="22"/>
                  <w:szCs w:val="22"/>
                  <w:u w:val="single"/>
                  <w:lang w:eastAsia="hr-HR"/>
                </w:rPr>
                <w:t>)</w:t>
              </w:r>
            </w:hyperlink>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Mireks</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2385-85-5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219-196-6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50 mg/kg</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Toksafen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8001-35-2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232-283-3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50 mg/kg</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Heksabromobifenil</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36355-01-8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252-994-2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50 mg/kg</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Otpad koji je obuhvaćen obvezom na temelju članka 7. Uredbe POP jer sadržava POP-ove u koncentracijama koje premašuju donju graničnu vrijednost sadržaja POP-ova nije nužno opasan otpad. Na primjer, s otpadom koji sadržava pentaBDE (koji se u prošlosti najviše upotrebljavao u poliuretanskim pjenama za primjenu u automobilima ili presvlakama) u koncentraciji od 5 % trebalo bi postupati u skladu s člankom 7. Uredbe POP (granična vrijednost koncentracije za zbroj POP-BDE-ova iznosi 0,1 %), ali on ne predstavlja opasan otpad (granična vrijednost za pentaBDE iznosi 10 %). Treba napomenuti da proizvođači ili posjednici otpada moraju ispuniti sve svoje obveze koje proizlaze iz Uredbe POP neovisno o tome smatra li se otpad na temelju razvrstavanja u skladu s Popisom otpada opasnim ili ne.</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Treba napomenuti da za otpad koji se razvrstava kao opasan samo zbog svojeg udjela POP-ova može biti teško ispuniti tovarni list jer se opasna svojstva od HP 1 do HP 15 u načelu moraju zabilježiti i prijaviti.</w:t>
      </w:r>
    </w:p>
    <w:p w:rsidR="005203CE" w:rsidRPr="005203CE" w:rsidRDefault="00144F85" w:rsidP="005203CE">
      <w:pPr>
        <w:spacing w:before="240" w:after="60" w:line="240" w:lineRule="auto"/>
        <w:rPr>
          <w:rFonts w:eastAsia="Times New Roman" w:cs="Times New Roman"/>
          <w:color w:val="000000"/>
          <w:szCs w:val="24"/>
          <w:lang w:eastAsia="hr-HR"/>
        </w:rPr>
      </w:pPr>
      <w:r>
        <w:rPr>
          <w:rFonts w:eastAsia="Times New Roman" w:cs="Times New Roman"/>
          <w:color w:val="000000"/>
          <w:szCs w:val="24"/>
          <w:lang w:eastAsia="hr-HR"/>
        </w:rPr>
        <w:pict>
          <v:rect id="_x0000_i1028" style="width:277.65pt;height:.75pt" o:hrpct="0" o:hrstd="t" o:hrnoshade="t" o:hr="t" fillcolor="black" stroked="f"/>
        </w:pic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115" w:anchor="ntc1-C_2018124HR.01002101-E0001"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1</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Vidjeti, na primjer, unose označene slovima A, B i C u tablici. Kad je riječ o unosima označenima slovom A, tumačenje u Smjernicama njemačkog Ministarstva okoliša razlikuje se od prethodno navedenog tumačenja; vidjeti http://www.bmub.bund.de/fileadmin/bmu-import/files/abfallwirtschaft/downloads/application/pdf/avv_erlaeuterungen.pdf. Kad je riječ o unosima označenima slovom B, tumačenje u Smjernicama Ujedinjene Kraljevine razlikuje se od prethodno navedenog tumačenja; vidjeti https://www.gov.uk/government/publications/waste-classification-technical-guidance. Unosi označeni slovom C: unose s oznakom „xx xx 99” neke države članice smatraju zrcalnim neopasnim (MNH) unosima, vidjeti </w:t>
      </w:r>
      <w:r w:rsidR="005203CE" w:rsidRPr="005203CE">
        <w:rPr>
          <w:rFonts w:ascii="inherit" w:eastAsia="Times New Roman" w:hAnsi="inherit" w:cs="Times New Roman"/>
          <w:i/>
          <w:iCs/>
          <w:color w:val="000000"/>
          <w:sz w:val="19"/>
          <w:szCs w:val="19"/>
          <w:lang w:eastAsia="hr-HR"/>
        </w:rPr>
        <w:t>Classification réglementaire des déchets – Guide d'application pour la caractérisation en dangerosité</w:t>
      </w:r>
      <w:r w:rsidR="005203CE" w:rsidRPr="005203CE">
        <w:rPr>
          <w:rFonts w:ascii="inherit" w:eastAsia="Times New Roman" w:hAnsi="inherit" w:cs="Times New Roman"/>
          <w:color w:val="000000"/>
          <w:sz w:val="19"/>
          <w:szCs w:val="19"/>
          <w:lang w:eastAsia="hr-HR"/>
        </w:rPr>
        <w:t>, http://www.ineris.fr/centredoc/rapport-drc-15-149793-06416a-guidehp-vf2-1456135314.pdf</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116" w:anchor="ntc2-C_2018124HR.01002101-E0002"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2</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Unos uvršten Odlukom 2014/955/EU.</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117" w:anchor="ntc3-C_2018124HR.01002101-E0003"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3</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Unos uvršten Odlukom 2014/955/EU.</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118" w:anchor="ntc4-C_2018124HR.01002101-E0004"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4</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Unos uvršten Odlukom 2014/955/EU.</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119" w:anchor="ntc5-C_2018124HR.01002101-E0005"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5</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Unos uvršten Odlukom Komisije 2014/955/EU.</w:t>
      </w:r>
    </w:p>
    <w:tbl>
      <w:tblPr>
        <w:tblW w:w="5000" w:type="pct"/>
        <w:tblCellSpacing w:w="0" w:type="dxa"/>
        <w:tblCellMar>
          <w:left w:w="0" w:type="dxa"/>
          <w:right w:w="0" w:type="dxa"/>
        </w:tblCellMar>
        <w:tblLook w:val="04A0" w:firstRow="1" w:lastRow="0" w:firstColumn="1" w:lastColumn="0" w:noHBand="0" w:noVBand="1"/>
      </w:tblPr>
      <w:tblGrid>
        <w:gridCol w:w="280"/>
        <w:gridCol w:w="879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Opasne komponente električne i elektroničke opreme mogu obuhvaćati akumulatore i baterije spomenute u 16 06 i označene kao opasne; živine prekidače, staklo iz katodnih cijevi i ostalo aktivno staklo itd.</w:t>
            </w:r>
          </w:p>
        </w:tc>
      </w:tr>
    </w:tbl>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120" w:anchor="ntc6-C_2018124HR.01002101-E0006"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6</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Prirodni resursi Wales, Škotska agencija za zaštitu okoliša (SEPA), Agencija za zaštitu okoliša Sjeverne Irske (NIEA), Agencija za zaštitu okoliša </w:t>
      </w:r>
      <w:r w:rsidR="005203CE" w:rsidRPr="005203CE">
        <w:rPr>
          <w:rFonts w:ascii="inherit" w:eastAsia="Times New Roman" w:hAnsi="inherit" w:cs="Times New Roman"/>
          <w:i/>
          <w:iCs/>
          <w:color w:val="000000"/>
          <w:sz w:val="19"/>
          <w:szCs w:val="19"/>
          <w:lang w:eastAsia="hr-HR"/>
        </w:rPr>
        <w:t>„DRAFT Waste Classification – Guidance on the classification and assessment of waste (1</w:t>
      </w:r>
      <w:r w:rsidR="005203CE" w:rsidRPr="005203CE">
        <w:rPr>
          <w:rFonts w:ascii="inherit" w:eastAsia="Times New Roman" w:hAnsi="inherit" w:cs="Times New Roman"/>
          <w:i/>
          <w:iCs/>
          <w:color w:val="000000"/>
          <w:sz w:val="13"/>
          <w:szCs w:val="13"/>
          <w:vertAlign w:val="superscript"/>
          <w:lang w:eastAsia="hr-HR"/>
        </w:rPr>
        <w:t>st</w:t>
      </w:r>
      <w:r w:rsidR="005203CE" w:rsidRPr="005203CE">
        <w:rPr>
          <w:rFonts w:ascii="inherit" w:eastAsia="Times New Roman" w:hAnsi="inherit" w:cs="Times New Roman"/>
          <w:i/>
          <w:iCs/>
          <w:color w:val="000000"/>
          <w:sz w:val="19"/>
          <w:szCs w:val="19"/>
          <w:lang w:eastAsia="hr-HR"/>
        </w:rPr>
        <w:t> DRAFT Waste Classification – Guidance on the classification and assessment of waste (1</w:t>
      </w:r>
      <w:r w:rsidR="005203CE" w:rsidRPr="005203CE">
        <w:rPr>
          <w:rFonts w:ascii="inherit" w:eastAsia="Times New Roman" w:hAnsi="inherit" w:cs="Times New Roman"/>
          <w:i/>
          <w:iCs/>
          <w:color w:val="000000"/>
          <w:sz w:val="13"/>
          <w:szCs w:val="13"/>
          <w:vertAlign w:val="superscript"/>
          <w:lang w:eastAsia="hr-HR"/>
        </w:rPr>
        <w:t>st</w:t>
      </w:r>
      <w:r w:rsidR="005203CE" w:rsidRPr="005203CE">
        <w:rPr>
          <w:rFonts w:ascii="inherit" w:eastAsia="Times New Roman" w:hAnsi="inherit" w:cs="Times New Roman"/>
          <w:i/>
          <w:iCs/>
          <w:color w:val="000000"/>
          <w:sz w:val="19"/>
          <w:szCs w:val="19"/>
          <w:lang w:eastAsia="hr-HR"/>
        </w:rPr>
        <w:t> edition 2015) Technical Guidance WM3”</w:t>
      </w:r>
      <w:r w:rsidR="005203CE" w:rsidRPr="005203CE">
        <w:rPr>
          <w:rFonts w:ascii="inherit" w:eastAsia="Times New Roman" w:hAnsi="inherit" w:cs="Times New Roman"/>
          <w:color w:val="000000"/>
          <w:sz w:val="19"/>
          <w:szCs w:val="19"/>
          <w:lang w:eastAsia="hr-HR"/>
        </w:rPr>
        <w:t>, dostupno na: https://www.gov.uk/government/publications/waste-classification-technical-guidance.</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121" w:anchor="ntc7-C_2018124HR.01002101-E0007"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7</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Openbare Vlaamse Afvalstoffen Maatschappij (OVAM), </w:t>
      </w:r>
      <w:r w:rsidR="005203CE" w:rsidRPr="005203CE">
        <w:rPr>
          <w:rFonts w:ascii="inherit" w:eastAsia="Times New Roman" w:hAnsi="inherit" w:cs="Times New Roman"/>
          <w:i/>
          <w:iCs/>
          <w:color w:val="000000"/>
          <w:sz w:val="19"/>
          <w:szCs w:val="19"/>
          <w:lang w:eastAsia="hr-HR"/>
        </w:rPr>
        <w:t>Europese afvalstoffenlijst EURAL Handleiding</w:t>
      </w:r>
      <w:r w:rsidR="005203CE" w:rsidRPr="005203CE">
        <w:rPr>
          <w:rFonts w:ascii="inherit" w:eastAsia="Times New Roman" w:hAnsi="inherit" w:cs="Times New Roman"/>
          <w:color w:val="000000"/>
          <w:sz w:val="19"/>
          <w:szCs w:val="19"/>
          <w:lang w:eastAsia="hr-HR"/>
        </w:rPr>
        <w:t>, Mechelen, Belgija, 2015.</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122" w:anchor="ntc8-C_2018124HR.01002101-E0008"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8</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Temelji se na dokumentu: Prirodni resursi Wales, Škotska agencija za zaštitu okoliša (SEPA), Agencija za zaštitu okoliša Sjeverne Irske (NIEA), Agencija za zaštitu okoliša, </w:t>
      </w:r>
      <w:r w:rsidR="005203CE" w:rsidRPr="005203CE">
        <w:rPr>
          <w:rFonts w:ascii="inherit" w:eastAsia="Times New Roman" w:hAnsi="inherit" w:cs="Times New Roman"/>
          <w:i/>
          <w:iCs/>
          <w:color w:val="000000"/>
          <w:sz w:val="19"/>
          <w:szCs w:val="19"/>
          <w:lang w:eastAsia="hr-HR"/>
        </w:rPr>
        <w:t>DRAFT Waste Classification – Guidance on the classification and assessment of waste (1</w:t>
      </w:r>
      <w:r w:rsidR="005203CE" w:rsidRPr="005203CE">
        <w:rPr>
          <w:rFonts w:ascii="inherit" w:eastAsia="Times New Roman" w:hAnsi="inherit" w:cs="Times New Roman"/>
          <w:i/>
          <w:iCs/>
          <w:color w:val="000000"/>
          <w:sz w:val="13"/>
          <w:szCs w:val="13"/>
          <w:vertAlign w:val="superscript"/>
          <w:lang w:eastAsia="hr-HR"/>
        </w:rPr>
        <w:t>st</w:t>
      </w:r>
      <w:r w:rsidR="005203CE" w:rsidRPr="005203CE">
        <w:rPr>
          <w:rFonts w:ascii="inherit" w:eastAsia="Times New Roman" w:hAnsi="inherit" w:cs="Times New Roman"/>
          <w:i/>
          <w:iCs/>
          <w:color w:val="000000"/>
          <w:sz w:val="19"/>
          <w:szCs w:val="19"/>
          <w:lang w:eastAsia="hr-HR"/>
        </w:rPr>
        <w:t> edition 2015) Technical Guidance WM3</w:t>
      </w:r>
      <w:r w:rsidR="005203CE" w:rsidRPr="005203CE">
        <w:rPr>
          <w:rFonts w:ascii="inherit" w:eastAsia="Times New Roman" w:hAnsi="inherit" w:cs="Times New Roman"/>
          <w:color w:val="000000"/>
          <w:sz w:val="19"/>
          <w:szCs w:val="19"/>
          <w:lang w:eastAsia="hr-HR"/>
        </w:rPr>
        <w:t>, 2015., dostupno na: https://www.gov.uk/government/publications/waste-classification-technical-guidance, dalje u tekstu „Smjernice Ujedinjene Kraljevine”)</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123" w:anchor="ntc9-C_2018124HR.01002101-E0009"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9</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Više informacija o koracima obrade i frakcija koje iz njih proizlaze dostupno je od Ministarstva okoliša i prometa Baden-Württemberga, </w:t>
      </w:r>
      <w:r w:rsidR="005203CE" w:rsidRPr="005203CE">
        <w:rPr>
          <w:rFonts w:ascii="inherit" w:eastAsia="Times New Roman" w:hAnsi="inherit" w:cs="Times New Roman"/>
          <w:i/>
          <w:iCs/>
          <w:color w:val="000000"/>
          <w:sz w:val="19"/>
          <w:szCs w:val="19"/>
          <w:lang w:eastAsia="hr-HR"/>
        </w:rPr>
        <w:t>Handbook „How to apply the European Waste List 2001/118/EC”</w:t>
      </w:r>
      <w:r w:rsidR="005203CE" w:rsidRPr="005203CE">
        <w:rPr>
          <w:rFonts w:ascii="inherit" w:eastAsia="Times New Roman" w:hAnsi="inherit" w:cs="Times New Roman"/>
          <w:color w:val="000000"/>
          <w:sz w:val="19"/>
          <w:szCs w:val="19"/>
          <w:lang w:eastAsia="hr-HR"/>
        </w:rPr>
        <w:t>, Stuttgart, Njemačka, 2003., dostupno na: http://abag-itm.de/fileadmin/Dateien/ABAG/Informationsschriften/Band_B/Band_B_englisch.pdf.</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124" w:anchor="ntc10-C_2018124HR.01002101-E0010"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10</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Openbare Vlaamse Afvalstoffen Maatschappij (OVAM), </w:t>
      </w:r>
      <w:r w:rsidR="005203CE" w:rsidRPr="005203CE">
        <w:rPr>
          <w:rFonts w:ascii="inherit" w:eastAsia="Times New Roman" w:hAnsi="inherit" w:cs="Times New Roman"/>
          <w:i/>
          <w:iCs/>
          <w:color w:val="000000"/>
          <w:sz w:val="19"/>
          <w:szCs w:val="19"/>
          <w:lang w:eastAsia="hr-HR"/>
        </w:rPr>
        <w:t>Europese afvalstoffenlijst EURAL Handleiding</w:t>
      </w:r>
      <w:r w:rsidR="005203CE" w:rsidRPr="005203CE">
        <w:rPr>
          <w:rFonts w:ascii="inherit" w:eastAsia="Times New Roman" w:hAnsi="inherit" w:cs="Times New Roman"/>
          <w:color w:val="000000"/>
          <w:sz w:val="19"/>
          <w:szCs w:val="19"/>
          <w:lang w:eastAsia="hr-HR"/>
        </w:rPr>
        <w:t>, Mechelen, Belgija, 2015., dalje u tekstu „Smjernice agencije OVAM”.</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125" w:anchor="ntc11-C_2018124HR.01002101-E0011"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11</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Informacije Agencije za zaštitu okoliša Sjedinjenih Američkih Država, </w:t>
      </w:r>
      <w:r w:rsidR="005203CE" w:rsidRPr="005203CE">
        <w:rPr>
          <w:rFonts w:ascii="inherit" w:eastAsia="Times New Roman" w:hAnsi="inherit" w:cs="Times New Roman"/>
          <w:i/>
          <w:iCs/>
          <w:color w:val="000000"/>
          <w:sz w:val="19"/>
          <w:szCs w:val="19"/>
          <w:lang w:eastAsia="hr-HR"/>
        </w:rPr>
        <w:t>Polycyclic Aromatic Hydrocarbons (PAHs)</w:t>
      </w:r>
      <w:r w:rsidR="005203CE" w:rsidRPr="005203CE">
        <w:rPr>
          <w:rFonts w:ascii="inherit" w:eastAsia="Times New Roman" w:hAnsi="inherit" w:cs="Times New Roman"/>
          <w:color w:val="000000"/>
          <w:sz w:val="19"/>
          <w:szCs w:val="19"/>
          <w:lang w:eastAsia="hr-HR"/>
        </w:rPr>
        <w:t>, 2008., dostupno na: http://www.epa.gov/osw/hazard/wastemin/minimize/factshts/pahs.pdf.</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126" w:anchor="ntc12-C_2018124HR.01002101-E0012"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12</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Europska agencija za okoliš (EEA) – Služba za terminologiju i podatke o okolišu (ETSA), 2015., dostupno na: http://glossary.eea.europa.eu/, pristupljeno 4.7.2015.</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127" w:anchor="ntc13-C_2018124HR.01002101-E0013"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13</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Isto, bilješka 12.</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128" w:anchor="ntc14-C_2018124HR.01002101-E0014"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14</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Isto, bilješka 11.</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129" w:anchor="ntc15-C_2018124HR.01002101-E0015"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15</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Agencija za otrovne tvari i registar bolesti (ATSDR), Ministarstvo zdravlja i socijalne skrbi SAD-a, </w:t>
      </w:r>
      <w:r w:rsidR="005203CE" w:rsidRPr="005203CE">
        <w:rPr>
          <w:rFonts w:ascii="inherit" w:eastAsia="Times New Roman" w:hAnsi="inherit" w:cs="Times New Roman"/>
          <w:i/>
          <w:iCs/>
          <w:color w:val="000000"/>
          <w:sz w:val="19"/>
          <w:szCs w:val="19"/>
          <w:lang w:eastAsia="hr-HR"/>
        </w:rPr>
        <w:t>BTEX – Benzene, Toluene, Ethylbenzene and Xylenes</w:t>
      </w:r>
      <w:r w:rsidR="005203CE" w:rsidRPr="005203CE">
        <w:rPr>
          <w:rFonts w:ascii="inherit" w:eastAsia="Times New Roman" w:hAnsi="inherit" w:cs="Times New Roman"/>
          <w:color w:val="000000"/>
          <w:sz w:val="19"/>
          <w:szCs w:val="19"/>
          <w:lang w:eastAsia="hr-HR"/>
        </w:rPr>
        <w:t>, 2014., dostupno na: http://www.odh.ohio.gov/~/media/ODH/ASSETS/Files/eh/HAS/btex.ashx</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130" w:anchor="ntc16-C_2018124HR.01002101-E0016"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16</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Isto, bilješka 12.</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131" w:anchor="ntc17-C_2018124HR.01002101-E0017"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17</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Uredba (EZ) br. 1005/2009 Europskog parlamenta i Vijeća od 16. rujna 2009. o tvarima koje oštećuju ozonski sloj (</w:t>
      </w:r>
      <w:hyperlink r:id="rId132" w:history="1">
        <w:r w:rsidR="005203CE" w:rsidRPr="005203CE">
          <w:rPr>
            <w:rFonts w:ascii="inherit" w:eastAsia="Times New Roman" w:hAnsi="inherit" w:cs="Times New Roman"/>
            <w:color w:val="0000FF"/>
            <w:sz w:val="19"/>
            <w:szCs w:val="19"/>
            <w:u w:val="single"/>
            <w:lang w:eastAsia="hr-HR"/>
          </w:rPr>
          <w:t>SL L 286, 31.10.2009., str. 1.</w:t>
        </w:r>
      </w:hyperlink>
      <w:r w:rsidR="005203CE" w:rsidRPr="005203CE">
        <w:rPr>
          <w:rFonts w:ascii="inherit" w:eastAsia="Times New Roman" w:hAnsi="inherit" w:cs="Times New Roman"/>
          <w:color w:val="000000"/>
          <w:sz w:val="19"/>
          <w:szCs w:val="19"/>
          <w:lang w:eastAsia="hr-HR"/>
        </w:rPr>
        <w:t>).</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133" w:anchor="ntc18-C_2018124HR.01002101-E0018"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18</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Vidjeti Europska agencija za okoliš: </w:t>
      </w:r>
      <w:r w:rsidR="005203CE" w:rsidRPr="005203CE">
        <w:rPr>
          <w:rFonts w:ascii="inherit" w:eastAsia="Times New Roman" w:hAnsi="inherit" w:cs="Times New Roman"/>
          <w:i/>
          <w:iCs/>
          <w:color w:val="000000"/>
          <w:sz w:val="19"/>
          <w:szCs w:val="19"/>
          <w:lang w:eastAsia="hr-HR"/>
        </w:rPr>
        <w:t>Ozone-depleting substances 2013 – Aggregated data reported by companies on the import, export, production, destruction and feedstock and process agent use of ozone-depleting substances in the European Union</w:t>
      </w:r>
      <w:r w:rsidR="005203CE" w:rsidRPr="005203CE">
        <w:rPr>
          <w:rFonts w:ascii="inherit" w:eastAsia="Times New Roman" w:hAnsi="inherit" w:cs="Times New Roman"/>
          <w:color w:val="000000"/>
          <w:sz w:val="19"/>
          <w:szCs w:val="19"/>
          <w:lang w:eastAsia="hr-HR"/>
        </w:rPr>
        <w:t>, 2014., dostupno na: http://www.eea.europa.eu/publications/ozone-depleting-substances-2013.</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134" w:anchor="ntc19-C_2018124HR.01002101-E0019"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19</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Direktiva 67/548/EEZ od 27. lipnja 1967. o usklađivanju zakona i drugih propisa u odnosu na razvrstavanje, pakiranje i označivanje opasnih tvari (</w:t>
      </w:r>
      <w:hyperlink r:id="rId135" w:history="1">
        <w:r w:rsidR="005203CE" w:rsidRPr="005203CE">
          <w:rPr>
            <w:rFonts w:ascii="inherit" w:eastAsia="Times New Roman" w:hAnsi="inherit" w:cs="Times New Roman"/>
            <w:color w:val="0000FF"/>
            <w:sz w:val="19"/>
            <w:szCs w:val="19"/>
            <w:u w:val="single"/>
            <w:lang w:eastAsia="hr-HR"/>
          </w:rPr>
          <w:t>SL 196, 16.8.1967., str. 1.</w:t>
        </w:r>
      </w:hyperlink>
      <w:r w:rsidR="005203CE" w:rsidRPr="005203CE">
        <w:rPr>
          <w:rFonts w:ascii="inherit" w:eastAsia="Times New Roman" w:hAnsi="inherit" w:cs="Times New Roman"/>
          <w:color w:val="000000"/>
          <w:sz w:val="19"/>
          <w:szCs w:val="19"/>
          <w:lang w:eastAsia="hr-HR"/>
        </w:rPr>
        <w:t>).</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136" w:anchor="ntc20-C_2018124HR.01002101-E0020"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20</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Direktiva 1999/45/EZ Europskog parlamenta i Vijeća od 31. svibnja 1999. o usklađivanju zakona i drugih propisa država članica u odnosu na razvrstavanje, pakiranje i označivanje opasnih pripravaka (</w:t>
      </w:r>
      <w:hyperlink r:id="rId137" w:history="1">
        <w:r w:rsidR="005203CE" w:rsidRPr="005203CE">
          <w:rPr>
            <w:rFonts w:ascii="inherit" w:eastAsia="Times New Roman" w:hAnsi="inherit" w:cs="Times New Roman"/>
            <w:color w:val="0000FF"/>
            <w:sz w:val="19"/>
            <w:szCs w:val="19"/>
            <w:u w:val="single"/>
            <w:lang w:eastAsia="hr-HR"/>
          </w:rPr>
          <w:t>SL L 200, 30.7.1999., str. 1.</w:t>
        </w:r>
      </w:hyperlink>
      <w:r w:rsidR="005203CE" w:rsidRPr="005203CE">
        <w:rPr>
          <w:rFonts w:ascii="inherit" w:eastAsia="Times New Roman" w:hAnsi="inherit" w:cs="Times New Roman"/>
          <w:color w:val="000000"/>
          <w:sz w:val="19"/>
          <w:szCs w:val="19"/>
          <w:lang w:eastAsia="hr-HR"/>
        </w:rPr>
        <w:t>).</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138" w:anchor="ntc21-C_2018124HR.01002101-E0021"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21</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Smjernice agencije OVAM.</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139" w:anchor="ntc22-C_2018124HR.01002101-E0022"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22</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Te su aktivnosti zabranjene u Europi, pa taj unos više nije vrlo značajan za razvrstavanje otpada.</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140" w:anchor="ntc23-C_2018124HR.01002101-E0023"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23</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Europska agencija za okoliš (EEA) – Služba za terminologiju i podatke o okolišu (ETSA), 2015., dostupno na: http://glossary.eea.europa.eu/, pristupljeno 4.7.2015.</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141" w:anchor="ntc24-C_2018124HR.01002101-E0024"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24</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Isto, bilješka 21.</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142" w:anchor="ntc25-C_2018124HR.01002101-E0025"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25</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Asphalt Insitute and Eurobitume, </w:t>
      </w:r>
      <w:r w:rsidR="005203CE" w:rsidRPr="005203CE">
        <w:rPr>
          <w:rFonts w:ascii="inherit" w:eastAsia="Times New Roman" w:hAnsi="inherit" w:cs="Times New Roman"/>
          <w:i/>
          <w:iCs/>
          <w:color w:val="000000"/>
          <w:sz w:val="19"/>
          <w:szCs w:val="19"/>
          <w:lang w:eastAsia="hr-HR"/>
        </w:rPr>
        <w:t>The Bitumen Industry – A Global Perspective</w:t>
      </w:r>
      <w:r w:rsidR="005203CE" w:rsidRPr="005203CE">
        <w:rPr>
          <w:rFonts w:ascii="inherit" w:eastAsia="Times New Roman" w:hAnsi="inherit" w:cs="Times New Roman"/>
          <w:color w:val="000000"/>
          <w:sz w:val="19"/>
          <w:szCs w:val="19"/>
          <w:lang w:eastAsia="hr-HR"/>
        </w:rPr>
        <w:t>, 2015., dostupno na: http://eurobitume.eu/pdf/The_bitumen_industry/The_bitumen_Industry.html.</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143" w:anchor="ntc26-C_2018124HR.01002101-E0026"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26</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Isto, bilješka 25.</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144" w:anchor="ntc27-C_2018124HR.01002101-E0027"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27</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Informacije u ovom odjeljku preuzete su, među ostalim, iz publikacije Davida O'Farrella iz Vijeća okruga Cumbria, </w:t>
      </w:r>
      <w:r w:rsidR="005203CE" w:rsidRPr="005203CE">
        <w:rPr>
          <w:rFonts w:ascii="inherit" w:eastAsia="Times New Roman" w:hAnsi="inherit" w:cs="Times New Roman"/>
          <w:i/>
          <w:iCs/>
          <w:color w:val="000000"/>
          <w:sz w:val="19"/>
          <w:szCs w:val="19"/>
          <w:lang w:eastAsia="hr-HR"/>
        </w:rPr>
        <w:t>Dealing with tar bound arisings</w:t>
      </w:r>
      <w:r w:rsidR="005203CE" w:rsidRPr="005203CE">
        <w:rPr>
          <w:rFonts w:ascii="inherit" w:eastAsia="Times New Roman" w:hAnsi="inherit" w:cs="Times New Roman"/>
          <w:color w:val="000000"/>
          <w:sz w:val="19"/>
          <w:szCs w:val="19"/>
          <w:lang w:eastAsia="hr-HR"/>
        </w:rPr>
        <w:t>, 2011., dostupno na: http://www.soci.org/~/media/Files/Conference%20Downloads/2011/Recycling%20and%20Re%20using%20Asphalt%20Mar%2011/David_OFarrell_Presentation.ashx.</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145" w:anchor="ntc28-C_2018124HR.01002101-E0028"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28</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Na temelju Smjernica Ujedinjene Kraljevine.</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146" w:anchor="ntc29-C_2018124HR.01002101-E0029"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29</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U Uredbi CLP navode se posebne ispitne metode (ispitne serije od A do H kako su opisane u dijelu II. Preporuke UN-a za prijevoz opasnih tereta, Priručnik za ispitivanja s kriterijima). Podrobnije informacije dostupne su u </w:t>
      </w:r>
      <w:r w:rsidR="005203CE" w:rsidRPr="005203CE">
        <w:rPr>
          <w:rFonts w:ascii="inherit" w:eastAsia="Times New Roman" w:hAnsi="inherit" w:cs="Times New Roman"/>
          <w:i/>
          <w:iCs/>
          <w:color w:val="000000"/>
          <w:sz w:val="19"/>
          <w:szCs w:val="19"/>
          <w:lang w:eastAsia="hr-HR"/>
        </w:rPr>
        <w:t>Smjernicama za primjenu kriterija Uredbe CLP</w:t>
      </w:r>
      <w:r w:rsidR="005203CE" w:rsidRPr="005203CE">
        <w:rPr>
          <w:rFonts w:ascii="inherit" w:eastAsia="Times New Roman" w:hAnsi="inherit" w:cs="Times New Roman"/>
          <w:color w:val="000000"/>
          <w:sz w:val="19"/>
          <w:szCs w:val="19"/>
          <w:lang w:eastAsia="hr-HR"/>
        </w:rPr>
        <w:t>, zadnja verzija (srpanj 2017.) na https://echa.europa.eu/documents/10162/23036412/clp_en.pdf/58b5dc6d-ac2a-4910-9702-e9e1f5051cc5</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147" w:anchor="ntc30-C_2018124HR.01002101-E0030"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30</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Informacije od Europske industrije pneumatika i gume (2014.).</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148" w:anchor="ntc31-C_2018124HR.01002101-E0031"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31</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Zajednički istraživački centar Europske komisije, </w:t>
      </w:r>
      <w:r w:rsidR="005203CE" w:rsidRPr="005203CE">
        <w:rPr>
          <w:rFonts w:ascii="inherit" w:eastAsia="Times New Roman" w:hAnsi="inherit" w:cs="Times New Roman"/>
          <w:i/>
          <w:iCs/>
          <w:color w:val="000000"/>
          <w:sz w:val="19"/>
          <w:szCs w:val="19"/>
          <w:lang w:eastAsia="hr-HR"/>
        </w:rPr>
        <w:t>End of waste criteria for waste plastics for conversion. Technical proposal. Final draft report</w:t>
      </w:r>
      <w:r w:rsidR="005203CE" w:rsidRPr="005203CE">
        <w:rPr>
          <w:rFonts w:ascii="inherit" w:eastAsia="Times New Roman" w:hAnsi="inherit" w:cs="Times New Roman"/>
          <w:color w:val="000000"/>
          <w:sz w:val="19"/>
          <w:szCs w:val="19"/>
          <w:lang w:eastAsia="hr-HR"/>
        </w:rPr>
        <w:t>, GU JRC, IPTS, Sevilla, Španjolska, 2014.</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149" w:anchor="ntc32-C_2018124HR.01002101-E0032"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32</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Plastic Europe, </w:t>
      </w:r>
      <w:r w:rsidR="005203CE" w:rsidRPr="005203CE">
        <w:rPr>
          <w:rFonts w:ascii="inherit" w:eastAsia="Times New Roman" w:hAnsi="inherit" w:cs="Times New Roman"/>
          <w:i/>
          <w:iCs/>
          <w:color w:val="000000"/>
          <w:sz w:val="19"/>
          <w:szCs w:val="19"/>
          <w:lang w:eastAsia="hr-HR"/>
        </w:rPr>
        <w:t>Plastics the facts 2013. An analysis of European latest plastics production, demand and waste data</w:t>
      </w:r>
      <w:r w:rsidR="005203CE" w:rsidRPr="005203CE">
        <w:rPr>
          <w:rFonts w:ascii="inherit" w:eastAsia="Times New Roman" w:hAnsi="inherit" w:cs="Times New Roman"/>
          <w:color w:val="000000"/>
          <w:sz w:val="19"/>
          <w:szCs w:val="19"/>
          <w:lang w:eastAsia="hr-HR"/>
        </w:rPr>
        <w:t>.</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150" w:anchor="ntc33-C_2018124HR.01002101-E0033"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33</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Isto.</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151" w:anchor="ntc34-C_2018124HR.01002101-E0034"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34</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Jan J. C. Bart, </w:t>
      </w:r>
      <w:r w:rsidR="005203CE" w:rsidRPr="005203CE">
        <w:rPr>
          <w:rFonts w:ascii="inherit" w:eastAsia="Times New Roman" w:hAnsi="inherit" w:cs="Times New Roman"/>
          <w:i/>
          <w:iCs/>
          <w:color w:val="000000"/>
          <w:sz w:val="19"/>
          <w:szCs w:val="19"/>
          <w:lang w:eastAsia="hr-HR"/>
        </w:rPr>
        <w:t>Additives in Polymers: Industrial Analysis and Applications</w:t>
      </w:r>
      <w:r w:rsidR="005203CE" w:rsidRPr="005203CE">
        <w:rPr>
          <w:rFonts w:ascii="inherit" w:eastAsia="Times New Roman" w:hAnsi="inherit" w:cs="Times New Roman"/>
          <w:color w:val="000000"/>
          <w:sz w:val="19"/>
          <w:szCs w:val="19"/>
          <w:lang w:eastAsia="hr-HR"/>
        </w:rPr>
        <w:t>, Wiley, 2005.</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152" w:anchor="ntc35-C_2018124HR.01002101-E0035"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35</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Za pojedinosti vidjeti dokument Europske komisije „</w:t>
      </w:r>
      <w:r w:rsidR="005203CE" w:rsidRPr="005203CE">
        <w:rPr>
          <w:rFonts w:ascii="inherit" w:eastAsia="Times New Roman" w:hAnsi="inherit" w:cs="Times New Roman"/>
          <w:i/>
          <w:iCs/>
          <w:color w:val="000000"/>
          <w:sz w:val="19"/>
          <w:szCs w:val="19"/>
          <w:lang w:eastAsia="hr-HR"/>
        </w:rPr>
        <w:t>Study to assess possibility of granting a derogation given to specific types of plastic and rubber waste in the EU waste list</w:t>
      </w:r>
      <w:r w:rsidR="005203CE" w:rsidRPr="005203CE">
        <w:rPr>
          <w:rFonts w:ascii="inherit" w:eastAsia="Times New Roman" w:hAnsi="inherit" w:cs="Times New Roman"/>
          <w:color w:val="000000"/>
          <w:sz w:val="19"/>
          <w:szCs w:val="19"/>
          <w:lang w:eastAsia="hr-HR"/>
        </w:rPr>
        <w:t>”, BIPRO, 2015.</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153" w:anchor="ntc36-C_2018124HR.01002101-E0036"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36</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Granična vrijednost izračunava se kao PCDD i PCDF prema faktorima ekvivalentne toksičnosti (TEF) kako je naznačeno u Uredbi (EZ) br. 850/2004</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154" w:anchor="ntc37-C_2018124HR.01002101-E0037"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37</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Ako je primjenjivo, trebalo bi primijeniti metodu izračuna utvrđenu u europskim normama EN 12766-1 i EN 12766-2.</w:t>
      </w:r>
    </w:p>
    <w:p w:rsidR="005203CE" w:rsidRPr="005203CE" w:rsidRDefault="00144F85" w:rsidP="005203CE">
      <w:pPr>
        <w:spacing w:before="120" w:after="120" w:line="240" w:lineRule="auto"/>
        <w:rPr>
          <w:rFonts w:eastAsia="Times New Roman" w:cs="Times New Roman"/>
          <w:szCs w:val="24"/>
          <w:lang w:eastAsia="hr-HR"/>
        </w:rPr>
      </w:pPr>
      <w:r>
        <w:rPr>
          <w:rFonts w:eastAsia="Times New Roman" w:cs="Times New Roman"/>
          <w:szCs w:val="24"/>
          <w:lang w:eastAsia="hr-HR"/>
        </w:rPr>
        <w:pict>
          <v:rect id="_x0000_i1029" style="width:138.8pt;height:.75pt" o:hrpct="0" o:hralign="center" o:hrstd="t" o:hrnoshade="t" o:hr="t" fillcolor="black" stroked="f"/>
        </w:pict>
      </w:r>
    </w:p>
    <w:p w:rsidR="005203CE" w:rsidRPr="005203CE" w:rsidRDefault="005203CE" w:rsidP="005203CE">
      <w:pPr>
        <w:spacing w:before="240" w:after="120" w:line="240" w:lineRule="auto"/>
        <w:jc w:val="center"/>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PRILOG 2.</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Izvori podataka i osnova informacija o opasnim tvarima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Nakon što se analizira koje se tvari nalaze u predmetnom otpadu, treba analizirati jesu li utvrđene tvari opasne tvari te kako će se odrediti njihovo kemijsko razvrstavanje. U Prilogu 2. pružaju se smjernice o ispitivanju kojim se utvrđuje jesu li identificirane tvari opasne te o njihovu razvrstavanju. Nadalje se opisuju izvori podataka koji pružaju relevantne informacije za tu svrhu. Glavni izvori podataka prikazani su na slici 5. Upućivanja se odnose na odgovarajuća poglavlja ovog dokumenta (sivi okvir) te na službeni izvor (plavi okvir). Dodatna objašnjenja o izvorima podataka te informacije o njihovu hijerarhijskom poretku navedeni su u odgovarajućim stavcima u nastavku.</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noProof/>
          <w:color w:val="000000"/>
          <w:szCs w:val="24"/>
          <w:lang w:eastAsia="hr-HR"/>
        </w:rPr>
        <w:drawing>
          <wp:inline distT="0" distB="0" distL="0" distR="0">
            <wp:extent cx="5800725" cy="4333875"/>
            <wp:effectExtent l="0" t="0" r="9525" b="9525"/>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800725" cy="4333875"/>
                    </a:xfrm>
                    <a:prstGeom prst="rect">
                      <a:avLst/>
                    </a:prstGeom>
                    <a:noFill/>
                    <a:ln>
                      <a:noFill/>
                    </a:ln>
                  </pic:spPr>
                </pic:pic>
              </a:graphicData>
            </a:graphic>
          </wp:inline>
        </w:drawing>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2.1    </w:t>
      </w:r>
      <w:r w:rsidRPr="005203CE">
        <w:rPr>
          <w:rFonts w:ascii="inherit" w:eastAsia="Times New Roman" w:hAnsi="inherit" w:cs="Times New Roman"/>
          <w:b/>
          <w:bCs/>
          <w:i/>
          <w:iCs/>
          <w:color w:val="000000"/>
          <w:szCs w:val="24"/>
          <w:lang w:eastAsia="hr-HR"/>
        </w:rPr>
        <w:t>Razvrstavanje tvari kao opasnih u skladu s Uredbom CLP</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 xml:space="preserve">U brojnim je slučajevima odlučujući kriterij za dodjelu zrcalnog opasnog unosa ili zrcalnog neopasnog unosa prisutnost „opasnih tvari”, u skladu s kriterijima HP i odgovarajućim graničnim vrijednostima koje se nalaze u Prilogu III. ODO-u (podrobnije vidjeti Prilog 3. ovom dokumentu). U Uredbi EU-a CLP navedeni su kriteriji za procjenu opasnosti tvari za fizičko zdravlje ljudi i okoliš. Opasna je tvar ona tvar kojoj je dodijeljena šifra oznake upozorenja kad se razvrstava u skladu s Uredbom CLP. Informacije o tome koje se šifre oznake upozorenja </w:t>
      </w:r>
      <w:r w:rsidRPr="005203CE">
        <w:rPr>
          <w:rFonts w:ascii="inherit" w:eastAsia="Times New Roman" w:hAnsi="inherit" w:cs="Times New Roman"/>
          <w:color w:val="000000"/>
          <w:szCs w:val="24"/>
          <w:lang w:eastAsia="hr-HR"/>
        </w:rPr>
        <w:lastRenderedPageBreak/>
        <w:t>dodjeljuju kojoj tvari mogu se dobiti na temelju usklađenih razvrstavanja, a kada nisu dostupne mogu se dobiti djelomično na temelju samorazvrstavanja (za koje je odgovoran operater i koje podliježe promatranju nadležnih tijela, pod pretpostavkom da samorazvrstavanje nije usklađeno) kako je opisano u sljedećim odjeljcima.</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2.1.1   </w:t>
      </w:r>
      <w:r w:rsidRPr="005203CE">
        <w:rPr>
          <w:rFonts w:ascii="inherit" w:eastAsia="Times New Roman" w:hAnsi="inherit" w:cs="Times New Roman"/>
          <w:b/>
          <w:bCs/>
          <w:i/>
          <w:iCs/>
          <w:color w:val="000000"/>
          <w:szCs w:val="24"/>
          <w:lang w:eastAsia="hr-HR"/>
        </w:rPr>
        <w:t>Usklađeno razvrstavanje tvari</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Neke su tvari „službeno” razvrstane službenom odlukom na razini EU-a. Ta se razvrstavanja nazivaju „usklađenim razvrstavanjima” i navedena su u tablici 3. u dijelu 3. Priloga VI. Uredbi CLP.</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Usklađenim razvrstavanjem dobivaju se informacije o kemijskom razvrstavanju i označivanju tvari:</w:t>
      </w:r>
    </w:p>
    <w:tbl>
      <w:tblPr>
        <w:tblW w:w="5000" w:type="pct"/>
        <w:tblCellSpacing w:w="0" w:type="dxa"/>
        <w:tblCellMar>
          <w:left w:w="0" w:type="dxa"/>
          <w:right w:w="0" w:type="dxa"/>
        </w:tblCellMar>
        <w:tblLook w:val="04A0" w:firstRow="1" w:lastRow="0" w:firstColumn="1" w:lastColumn="0" w:noHBand="0" w:noVBand="1"/>
      </w:tblPr>
      <w:tblGrid>
        <w:gridCol w:w="1785"/>
        <w:gridCol w:w="7287"/>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Šifra oznake upozorenja</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Šifra dodijeljena razredu i kategoriji opasnosti. Na primjer, karcinogen može biti „H350” ili „H351”.</w:t>
            </w:r>
          </w:p>
        </w:tc>
      </w:tr>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Razred opasnosti</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Priroda opasnosti. Na primjer, karcinogen je „Karc.”</w:t>
            </w:r>
          </w:p>
        </w:tc>
      </w:tr>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Kategorija opasnosti</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Potkategorija razreda opasnosti kojom se opisuje ozbiljnost opasnosti. Na primjer, karcinogen može biti „1A”, „1B” ili „2”.</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Razredi i kategorije opasnosti prikazani u tablici 3. u dijelu 3. Priloga VI. Uredbi CLP imaju pravnu prednost pred svim drugim izvorima informacija o tim razredima i kategorijama opasnosti i moraju se primjenjivati za razvrstavanje. Treba napomenuti da usklađeno razvrstavanje može biti nepotpuno kad obuhvaća samo razrede i kategorije opasnosti s popisa. Za informacije o terminologiji pogledajte Smjernice ECHA-e za CLP.</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Tablica 3. u dijelu 3. Priloga VI. Uredbi CLP redovito se ažurira kako bi se prilagodila tehničkom napretku. Sadržava dvije vrste usklađenih razvrstavanja:</w:t>
      </w:r>
    </w:p>
    <w:tbl>
      <w:tblPr>
        <w:tblW w:w="5000" w:type="pct"/>
        <w:tblCellSpacing w:w="0" w:type="dxa"/>
        <w:tblCellMar>
          <w:left w:w="0" w:type="dxa"/>
          <w:right w:w="0" w:type="dxa"/>
        </w:tblCellMar>
        <w:tblLook w:val="04A0" w:firstRow="1" w:lastRow="0" w:firstColumn="1" w:lastColumn="0" w:noHBand="0" w:noVBand="1"/>
      </w:tblPr>
      <w:tblGrid>
        <w:gridCol w:w="287"/>
        <w:gridCol w:w="8785"/>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usklađena razvrstavanja za određene tvari (kao što je npr. „olovni kromat”) i</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334"/>
        <w:gridCol w:w="8738"/>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usklađena skupna razvrstavanja (kao što su npr. „spojevi olova”).</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Usklađena razvrstavanja mogu se pronaći na Popisu razvrstavanja i označivanja, koji održava Europska agencija za kemikalije (ECHA) (vidjeti odjeljak 2.1.3.). U slučaju da postoji usklađeno razvrstavanje za određenu tvar, to razvrstavanje treba imati prednost pred usklađenim skupnim razvrstavanjem.</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2.1.2   </w:t>
      </w:r>
      <w:r w:rsidRPr="005203CE">
        <w:rPr>
          <w:rFonts w:ascii="inherit" w:eastAsia="Times New Roman" w:hAnsi="inherit" w:cs="Times New Roman"/>
          <w:b/>
          <w:bCs/>
          <w:i/>
          <w:iCs/>
          <w:color w:val="000000"/>
          <w:szCs w:val="24"/>
          <w:lang w:eastAsia="hr-HR"/>
        </w:rPr>
        <w:t>Samorazvrstavanje</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Proizvođači, uvoznici i daljnji korisnici tvari obvezni su provoditi samorazvrstavanje na temelju Uredbe CLP (kako se zahtijeva Uredbom CLP i u okviru za registraciju tvari na temelju Uredbe REACH), koje se određuje primjenom kriterija za razvrstavanje prema CLP-u.</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Ista tvar može biti višestruko razvrstana zbog:</w:t>
      </w:r>
    </w:p>
    <w:tbl>
      <w:tblPr>
        <w:tblW w:w="5000" w:type="pct"/>
        <w:tblCellSpacing w:w="0" w:type="dxa"/>
        <w:tblCellMar>
          <w:left w:w="0" w:type="dxa"/>
          <w:right w:w="0" w:type="dxa"/>
        </w:tblCellMar>
        <w:tblLook w:val="04A0" w:firstRow="1" w:lastRow="0" w:firstColumn="1" w:lastColumn="0" w:noHBand="0" w:noVBand="1"/>
      </w:tblPr>
      <w:tblGrid>
        <w:gridCol w:w="292"/>
        <w:gridCol w:w="8780"/>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različitog sastava, oblika ili fizikalnog stanja tvari koja se stavlja na tržište,</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nedostatnih informacija koje je proizvođač naveo za procjenu razreda ili kategorije opasnosti (to se naznačava kao „nedostatni podaci”, „nejasni podaci” ili „jasni podaci, ali nedostatni za razvrstavanje”),</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različitih ili dodatnih podataka kojima proizvođač, uvoznik ili daljnji korisnik ima pristup ili koje je generirao.</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lastRenderedPageBreak/>
        <w:t>Samorazvrstavanja se mogu upotrijebiti kako bi se utvrdili razredi i kategorije opasnosti koje su drugi podnositelji prijave već utvrdili, a koji nadilaze usklađeno razvrstavanje i trebaju služiti kao opća osnova informacija. Preporuča se provjeravanje osobito onih samorazvrstavanja koja imaju najveći broj podnositelja prijava. U tijeku su nastojanja da se podnositelji prijava usuglase o samorazvrstavanju. Međutim, ako nije dostupno usklađeno razvrstavanje te su za predmetne tvari dostupna samo samorazvrstavanja, posjednik otpada mora dati sve od sebe kako bi dodijelio razvrstavanje na temelju objavljenih samorazvrstavanja u Popisu razvrstavanja i označivanja te uzimajući osobito u obzir razvrstavanje koje je operateru kod kojeg nastaje otpad preneseno putem sigurnosno-tehničkog lista odgovarajuće tvari ili smjese.</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2.1.3   </w:t>
      </w:r>
      <w:r w:rsidRPr="005203CE">
        <w:rPr>
          <w:rFonts w:ascii="inherit" w:eastAsia="Times New Roman" w:hAnsi="inherit" w:cs="Times New Roman"/>
          <w:b/>
          <w:bCs/>
          <w:i/>
          <w:iCs/>
          <w:color w:val="000000"/>
          <w:szCs w:val="24"/>
          <w:lang w:eastAsia="hr-HR"/>
        </w:rPr>
        <w:t>Popis razvrstavanja i označivanja kao alat pretraživanja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Popis razvrstavanja i označivanja</w:t>
      </w:r>
      <w:hyperlink r:id="rId156" w:anchor="ntr1-C_2018124HR.01008301-E0001"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1</w:t>
        </w:r>
        <w:r w:rsidRPr="005203CE">
          <w:rPr>
            <w:rFonts w:ascii="inherit" w:eastAsia="Times New Roman" w:hAnsi="inherit" w:cs="Times New Roman"/>
            <w:color w:val="0000FF"/>
            <w:szCs w:val="24"/>
            <w:u w:val="single"/>
            <w:lang w:eastAsia="hr-HR"/>
          </w:rPr>
          <w:t>)</w:t>
        </w:r>
      </w:hyperlink>
      <w:r w:rsidRPr="005203CE">
        <w:rPr>
          <w:rFonts w:ascii="inherit" w:eastAsia="Times New Roman" w:hAnsi="inherit" w:cs="Times New Roman"/>
          <w:color w:val="000000"/>
          <w:szCs w:val="24"/>
          <w:lang w:eastAsia="hr-HR"/>
        </w:rPr>
        <w:t> kojim upravlja ECHA može se primijeniti za pretraživanje razvrstavanja tvari ili skupine tvari koje je relevantno u kontekstu razvrstavanja otpada (te za provjeru te informacije, ako je primjenjivo). Taj popis omogućuje jednostavno pretraživanje usklađenih razvrstavanja tvari ili skupine tvari jer sadržava informacije iz tablice 3. u dijelu 3. Priloga VI. Uredbi CLP. Isto tako sadržava samorazvrstavanja predviđena okvirom za registraciju tvari na temelju Uredbe REACH te obavijesti o neregistriranim tvarima (npr. uvoznika malih količina koji nemaju obvezu registracije). Kad u Popisu razvrstavanja i označivanja nije navedeno usklađeno razvrstavanje i navedeno je više od jednog samorazvrstavanja, baza podataka ECHA-e o registriranim tvarima</w:t>
      </w:r>
      <w:hyperlink r:id="rId157" w:anchor="ntr2-C_2018124HR.01008301-E0002"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2</w:t>
        </w:r>
        <w:r w:rsidRPr="005203CE">
          <w:rPr>
            <w:rFonts w:ascii="inherit" w:eastAsia="Times New Roman" w:hAnsi="inherit" w:cs="Times New Roman"/>
            <w:color w:val="0000FF"/>
            <w:szCs w:val="24"/>
            <w:u w:val="single"/>
            <w:lang w:eastAsia="hr-HR"/>
          </w:rPr>
          <w:t>)</w:t>
        </w:r>
      </w:hyperlink>
      <w:r w:rsidRPr="005203CE">
        <w:rPr>
          <w:rFonts w:ascii="inherit" w:eastAsia="Times New Roman" w:hAnsi="inherit" w:cs="Times New Roman"/>
          <w:color w:val="000000"/>
          <w:szCs w:val="24"/>
          <w:lang w:eastAsia="hr-HR"/>
        </w:rPr>
        <w:t> može pomoći u nadopuni informacija dobivenih iz Popisa razvrstavanja i označivanja.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Nadalje, Popis razvrstavanja i označivanja preveden je na sve jezike EU-a.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Međutim, treba napomenuti da se sadržaj Popisa razvrstavanja i označivanja redovito mijenja te da ga treba razmatrati s oprezom (npr. neprestano se radi na konvergenciji razvrstavanja po tvari na Popisu razvrstavanja i označivanja).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nastavku je primjer usklađenog unosa za „olovni kromat” (CAS broj 7758-97-6) kako je prikazan na Popisu razvrstavanja i označivanja.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noProof/>
          <w:color w:val="000000"/>
          <w:szCs w:val="24"/>
          <w:lang w:eastAsia="hr-HR"/>
        </w:rPr>
        <w:lastRenderedPageBreak/>
        <w:drawing>
          <wp:inline distT="0" distB="0" distL="0" distR="0">
            <wp:extent cx="5962650" cy="4486275"/>
            <wp:effectExtent l="0" t="0" r="0" b="9525"/>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62650" cy="4486275"/>
                    </a:xfrm>
                    <a:prstGeom prst="rect">
                      <a:avLst/>
                    </a:prstGeom>
                    <a:noFill/>
                    <a:ln>
                      <a:noFill/>
                    </a:ln>
                  </pic:spPr>
                </pic:pic>
              </a:graphicData>
            </a:graphic>
          </wp:inline>
        </w:drawing>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Kako je prikazano na slici 6., „olovni kromat” razvrstan je na sljedeći način:</w:t>
      </w:r>
    </w:p>
    <w:tbl>
      <w:tblPr>
        <w:tblW w:w="5000" w:type="pct"/>
        <w:tblCellSpacing w:w="0" w:type="dxa"/>
        <w:tblCellMar>
          <w:left w:w="0" w:type="dxa"/>
          <w:right w:w="0" w:type="dxa"/>
        </w:tblCellMar>
        <w:tblLook w:val="04A0" w:firstRow="1" w:lastRow="0" w:firstColumn="1" w:lastColumn="0" w:noHBand="0" w:noVBand="1"/>
      </w:tblPr>
      <w:tblGrid>
        <w:gridCol w:w="647"/>
        <w:gridCol w:w="6305"/>
        <w:gridCol w:w="2120"/>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Karc. 1B</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H350</w:t>
            </w:r>
          </w:p>
        </w:tc>
      </w:tr>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Repr. 1A</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H360Df</w:t>
            </w:r>
          </w:p>
        </w:tc>
      </w:tr>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TCOP 2</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H373**</w:t>
            </w:r>
          </w:p>
        </w:tc>
      </w:tr>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Ak. toks. vod. okol. 1</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H400</w:t>
            </w:r>
          </w:p>
        </w:tc>
      </w:tr>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Kron. toks. vod. okol. 1.</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H410</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Kako bi se ocijenilo ima li predmetni otpad opasnih svojstava (vidjeti Poglavlje 3.2.2. i Prilog 3.) zbog svojeg sadržaja opasne tvari „olovni kromat”, potrebno je razmotriti informacije o razredu opasnosti, kategoriji opasnosti i šiframa oznaka upozorenja stavke „olovni kromat”.</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2.2    </w:t>
      </w:r>
      <w:r w:rsidRPr="005203CE">
        <w:rPr>
          <w:rFonts w:ascii="inherit" w:eastAsia="Times New Roman" w:hAnsi="inherit" w:cs="Times New Roman"/>
          <w:b/>
          <w:bCs/>
          <w:i/>
          <w:iCs/>
          <w:color w:val="000000"/>
          <w:szCs w:val="24"/>
          <w:lang w:eastAsia="hr-HR"/>
        </w:rPr>
        <w:t>Informacije o sastavu, svojstvima i gospodarenju otpadom od tvari/smjesa koje postaju otpad</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Dobavljač mora dostaviti sigurnosno-tehnički list za tvari i smjese koje su prema CLP-u razvrstane kao opasne te za nerazvrstane smjese koje sadržavaju opasne tvari iznad određenih graničnih vrijednosti. Sigurnosno-tehnički list mora ispunjavati određene uvjete i biti u skladu s formatom iz članka 31. Uredbe REACH te mora sadržavati informacije o sljedećem:</w:t>
      </w: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razvrstavanju tvari ili smjese u skladu s Glavom II. Uredbe CLP (odjeljak 2. sigurnosno-tehničkog lista); to može biti usklađeno razvrstavanje ili samorazvrstavanje (vidjeti odjeljak 2.1.),</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368"/>
        <w:gridCol w:w="8704"/>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lastRenderedPageBreak/>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sastavu/sastojcima (odjeljak 3. sigurnosno-tehničkog lista),</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332"/>
        <w:gridCol w:w="8740"/>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„uputama za odlaganje” (odjeljak 13. sigurnosno-tehničkog lista),</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603"/>
        <w:gridCol w:w="8469"/>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scenarijima izloženosti (u Prilogu).</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S tim informacijama na raspolaganju sigurnosno-tehnički list može biti koristan informacijski alat za daljnje korake u procjeni koje treba provesti tijekom razvrstavanja u skladu s popisom otpada nakon što određeni proizvod postane otpad.</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Treba napomenuti da su u slučaju kad je proizvod koji postaje otpad smjesa dviju ili više tvari (npr. posuda s lakom) informacije o razvrstavanju za smjese općenito vrijedan izvor informacija te, drugo, da je potrebno služiti se razvrstavanjem za pojedinačne tvari iz smjese, a ne cjelokupnim kemijskim razvrstavanjem smjese. U odjeljku 3. sigurnosno-tehničkog lista navedena su razvrstavanja u skladu s Uredbom CLP za pojedinačne opasne sastojke smjese. Te se informacije mogu provjeriti ili dopuniti pretraživanjem Popisa razvrstavanja i označivanja (vidjeti odjeljak 2.1.3.).</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Treba napomenuti da za tvari i smjese za koje sigurnosno-tehnički list nije obvezan te u slučaju raznih proizvoda mogu biti dostupni dobrovoljni informacijski listovi proizvoda koji nisu u skladu sa sigurnosno-tehničkim listom, ali mogu sadržavati informacije o sastavu i preporučenim praksama odlaganja.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Dodatne provjere preporučaju se u sljedećim slučajevima:</w:t>
      </w: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ako su dostavljene informacije zastarjele (proizvod je odbačen dugo nakon što je posljednji put isporučen),</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ako postoji razlog na temelju kojeg se vjeruje da su informacije nepotpune, neprikladne ili netočne,</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ako informacije o postupku nastanka otpada ukazuju na mogućnost da su u otpadu prisutne dodatne tvari (npr. onečišćujuće tvari) koje nisu obuhvaćene sigurnosno-tehničkim listom.</w:t>
            </w:r>
          </w:p>
        </w:tc>
      </w:tr>
    </w:tbl>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2.3    </w:t>
      </w:r>
      <w:r w:rsidRPr="005203CE">
        <w:rPr>
          <w:rFonts w:ascii="inherit" w:eastAsia="Times New Roman" w:hAnsi="inherit" w:cs="Times New Roman"/>
          <w:b/>
          <w:bCs/>
          <w:i/>
          <w:iCs/>
          <w:color w:val="000000"/>
          <w:szCs w:val="24"/>
          <w:lang w:eastAsia="hr-HR"/>
        </w:rPr>
        <w:t>Drugi izvori informacija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Osim izvora informacija navedenih u prethodnom poglavlju, može postojati i druga korisna literatura o prisutnosti i sadržaju tvari koje se potencijalno mogu nalaziti u otpadu. O odabiru izvora treba odlučiti za svaki zasebni slučaj. Opći primjeri mogućih izvora:</w:t>
      </w:r>
    </w:p>
    <w:tbl>
      <w:tblPr>
        <w:tblW w:w="5000" w:type="pct"/>
        <w:tblCellSpacing w:w="0" w:type="dxa"/>
        <w:tblCellMar>
          <w:left w:w="0" w:type="dxa"/>
          <w:right w:w="0" w:type="dxa"/>
        </w:tblCellMar>
        <w:tblLook w:val="04A0" w:firstRow="1" w:lastRow="0" w:firstColumn="1" w:lastColumn="0" w:noHBand="0" w:noVBand="1"/>
      </w:tblPr>
      <w:tblGrid>
        <w:gridCol w:w="626"/>
        <w:gridCol w:w="8446"/>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referentni dokumenti o NRT-ima,</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575"/>
        <w:gridCol w:w="8497"/>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priručnici o industrijskim procesima,</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405"/>
        <w:gridCol w:w="8667"/>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sektorske bilješke Agencije za zaštitu okoliša SAD-a,</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54"/>
        <w:gridCol w:w="8818"/>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informacije o postupcima i tvarima dobivene od proizvođača otpada (opisi postupaka),</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352"/>
        <w:gridCol w:w="8720"/>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baze podataka o najčešćem sastavu određenih vrsta otpada</w:t>
            </w:r>
            <w:hyperlink r:id="rId159" w:anchor="ntr3-C_2018124HR.01008301-E0003"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3</w:t>
              </w:r>
              <w:r w:rsidRPr="005203CE">
                <w:rPr>
                  <w:rFonts w:ascii="inherit" w:eastAsia="Times New Roman" w:hAnsi="inherit" w:cs="Times New Roman"/>
                  <w:color w:val="0000FF"/>
                  <w:szCs w:val="24"/>
                  <w:u w:val="single"/>
                  <w:lang w:eastAsia="hr-HR"/>
                </w:rPr>
                <w:t>)</w:t>
              </w:r>
            </w:hyperlink>
            <w:r w:rsidRPr="005203CE">
              <w:rPr>
                <w:rFonts w:ascii="inherit" w:eastAsia="Times New Roman" w:hAnsi="inherit" w:cs="Times New Roman"/>
                <w:szCs w:val="24"/>
                <w:lang w:eastAsia="hr-HR"/>
              </w:rPr>
              <w:t>.</w:t>
            </w:r>
          </w:p>
        </w:tc>
      </w:tr>
    </w:tbl>
    <w:p w:rsidR="005203CE" w:rsidRPr="005203CE" w:rsidRDefault="00144F85" w:rsidP="005203CE">
      <w:pPr>
        <w:spacing w:before="240" w:after="60" w:line="240" w:lineRule="auto"/>
        <w:rPr>
          <w:rFonts w:eastAsia="Times New Roman" w:cs="Times New Roman"/>
          <w:color w:val="000000"/>
          <w:szCs w:val="24"/>
          <w:lang w:eastAsia="hr-HR"/>
        </w:rPr>
      </w:pPr>
      <w:r>
        <w:rPr>
          <w:rFonts w:eastAsia="Times New Roman" w:cs="Times New Roman"/>
          <w:color w:val="000000"/>
          <w:szCs w:val="24"/>
          <w:lang w:eastAsia="hr-HR"/>
        </w:rPr>
        <w:pict>
          <v:rect id="_x0000_i1030" style="width:277.65pt;height:.75pt" o:hrpct="0" o:hrstd="t" o:hrnoshade="t" o:hr="t" fillcolor="black" stroked="f"/>
        </w:pic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160" w:anchor="ntc1-C_2018124HR.01008301-E0001"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1</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https://echa.europa.eu/hr/regulations/clp/cl-inventory</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161" w:anchor="ntc2-C_2018124HR.01008301-E0002"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2</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https://echa.europa.eu/hr/information-on-chemicals/registered-substances</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162" w:anchor="ntc3-C_2018124HR.01008301-E0003"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3</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Treba napomenuti da su u nekim državama članicama, npr. Njemačkoj, javno dostupne baze podataka koje se posebno odnose na sastav, fizikalno-kemijska svojstva i razvrstavanja tokova otpada.</w:t>
      </w:r>
    </w:p>
    <w:p w:rsidR="005203CE" w:rsidRPr="005203CE" w:rsidRDefault="00144F85" w:rsidP="005203CE">
      <w:pPr>
        <w:spacing w:before="120" w:after="120" w:line="240" w:lineRule="auto"/>
        <w:rPr>
          <w:rFonts w:eastAsia="Times New Roman" w:cs="Times New Roman"/>
          <w:szCs w:val="24"/>
          <w:lang w:eastAsia="hr-HR"/>
        </w:rPr>
      </w:pPr>
      <w:r>
        <w:rPr>
          <w:rFonts w:eastAsia="Times New Roman" w:cs="Times New Roman"/>
          <w:szCs w:val="24"/>
          <w:lang w:eastAsia="hr-HR"/>
        </w:rPr>
        <w:pict>
          <v:rect id="_x0000_i1031" style="width:138.8pt;height:.75pt" o:hrpct="0" o:hralign="center" o:hrstd="t" o:hrnoshade="t" o:hr="t" fillcolor="black" stroked="f"/>
        </w:pict>
      </w:r>
    </w:p>
    <w:p w:rsidR="005203CE" w:rsidRPr="005203CE" w:rsidRDefault="005203CE" w:rsidP="005203CE">
      <w:pPr>
        <w:spacing w:before="240" w:after="120" w:line="240" w:lineRule="auto"/>
        <w:jc w:val="center"/>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highlight w:val="yellow"/>
          <w:lang w:eastAsia="hr-HR"/>
        </w:rPr>
        <w:t>PRILOG 3.</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Posebni pristupi određivanju opasnih svojstava (od HP 1 do HP 15)</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bookmarkStart w:id="0" w:name="HP1"/>
      <w:r w:rsidRPr="005203CE">
        <w:rPr>
          <w:rFonts w:ascii="inherit" w:eastAsia="Times New Roman" w:hAnsi="inherit" w:cs="Times New Roman"/>
          <w:b/>
          <w:bCs/>
          <w:color w:val="000000"/>
          <w:szCs w:val="24"/>
          <w:lang w:eastAsia="hr-HR"/>
        </w:rPr>
        <w:t>3.1.    </w:t>
      </w:r>
      <w:r w:rsidRPr="005203CE">
        <w:rPr>
          <w:rFonts w:ascii="inherit" w:eastAsia="Times New Roman" w:hAnsi="inherit" w:cs="Times New Roman"/>
          <w:b/>
          <w:bCs/>
          <w:i/>
          <w:iCs/>
          <w:color w:val="000000"/>
          <w:szCs w:val="24"/>
          <w:lang w:eastAsia="hr-HR"/>
        </w:rPr>
        <w:t>Određivanje oznake HP 1: Eksplozivno</w:t>
      </w:r>
    </w:p>
    <w:bookmarkEnd w:id="0"/>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Definicija i daljnji opis iz Priloga III. ODO-u</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Prilogu III. ODO-u HP 1 „Eksplozivno” definira se kao:</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„otpad u kojem zbog kemijskih reakcija može doći do proizvodnje plina pri takvim temperaturama i tlaku te takvoj brzini da to može dovesti do štetnih posljedica na okruženje. Obuhvaćeni su pirotehnički otpad, eksplozivan organski peroksidni otpad i eksplozivan samoreagirajući otpad.”</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vezi sa svojstvom HP 1 važno je napomenuti da u područje primjene ODO-a nisu uključeni „deaktivirani otpadni eksplozivi” (vidjeti odjeljak 3.1.1.). Stoga se preporučuje provjera podliježe li uopće relevantni predmetni otpad pravilima ODO-a i Popisa otpada.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ODO-u dalje se objašnjava: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„Kad otpad sadržava jednu ili više tvari koje su razvrstane u razrede opasnosti i prema šiframa kategorija i šiframa oznaka upozorenja iz tablice 1.</w:t>
      </w:r>
      <w:r w:rsidRPr="005203CE">
        <w:rPr>
          <w:rFonts w:ascii="inherit" w:eastAsia="Times New Roman" w:hAnsi="inherit" w:cs="Times New Roman"/>
          <w:color w:val="000000"/>
          <w:szCs w:val="24"/>
          <w:lang w:eastAsia="hr-HR"/>
        </w:rPr>
        <w:t> [vidjeti tablicu 8. u ovom dokumentu]</w:t>
      </w:r>
      <w:r w:rsidRPr="005203CE">
        <w:rPr>
          <w:rFonts w:ascii="inherit" w:eastAsia="Times New Roman" w:hAnsi="inherit" w:cs="Times New Roman"/>
          <w:i/>
          <w:iCs/>
          <w:color w:val="000000"/>
          <w:szCs w:val="24"/>
          <w:lang w:eastAsia="hr-HR"/>
        </w:rPr>
        <w:t>, otpad se, prema potrebi i razmjerno, u pogledu oznake HP 1 ocjenjuje u skladu s ispitnim metodama. Ako prisutnost tvari, smjese ili nekog dijela ukazuje na eksplozivnost otpada, otpad se razvrstava kao opasan oznakom HP 1.”</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Otpad koji sadržava tvari koje su razvrstane prema razredu, šiframa kategorija i oznaka upozorenja u tablici 8. može se ispitati kako bi se utvrdilo sadržava li opasna svojstva. S druge strane, za otpad koji sadržava te tvari može se jednostavno pretpostaviti da je opasan prema HP 1.</w:t>
      </w:r>
    </w:p>
    <w:p w:rsidR="005203CE" w:rsidRPr="005203CE" w:rsidRDefault="005203CE" w:rsidP="005203CE">
      <w:pPr>
        <w:spacing w:before="120" w:after="120" w:line="240" w:lineRule="auto"/>
        <w:jc w:val="center"/>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Tablica 8.</w:t>
      </w:r>
    </w:p>
    <w:p w:rsidR="005203CE" w:rsidRPr="005203CE" w:rsidRDefault="005203CE" w:rsidP="005203CE">
      <w:pPr>
        <w:spacing w:before="120" w:after="120" w:line="240" w:lineRule="auto"/>
        <w:jc w:val="center"/>
        <w:rPr>
          <w:rFonts w:ascii="inherit" w:eastAsia="Times New Roman" w:hAnsi="inherit" w:cs="Times New Roman"/>
          <w:color w:val="000000"/>
          <w:szCs w:val="24"/>
          <w:lang w:eastAsia="hr-HR"/>
        </w:rPr>
      </w:pPr>
      <w:r w:rsidRPr="005203CE">
        <w:rPr>
          <w:rFonts w:ascii="inherit" w:eastAsia="Times New Roman" w:hAnsi="inherit" w:cs="Times New Roman"/>
          <w:b/>
          <w:bCs/>
          <w:color w:val="000000"/>
          <w:szCs w:val="24"/>
          <w:lang w:eastAsia="hr-HR"/>
        </w:rPr>
        <w:t>Razred opasnosti, šifre kategorija i šifre oznaka upozorenja za sastojke otpada radi njegova razvrstavanja kao opasnog prema oznaci HP 1 „Eksplozivno”</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717"/>
        <w:gridCol w:w="2122"/>
        <w:gridCol w:w="4217"/>
      </w:tblGrid>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Razred opasnosti i šifre kategorija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Šifre oznaka upozorenja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Opis</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Nest. ekspl.</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H200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i/>
                <w:iCs/>
                <w:sz w:val="22"/>
                <w:szCs w:val="22"/>
                <w:lang w:eastAsia="hr-HR"/>
              </w:rPr>
              <w:t>Nestabilni eksplozivi</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Ekspl. 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H201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i/>
                <w:iCs/>
                <w:sz w:val="22"/>
                <w:szCs w:val="22"/>
                <w:lang w:eastAsia="hr-HR"/>
              </w:rPr>
              <w:t>Eksplozivno; opasnost od eksplozije ogromnih razmjera.</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Ekspl. 1.2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H202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i/>
                <w:iCs/>
                <w:sz w:val="22"/>
                <w:szCs w:val="22"/>
                <w:lang w:eastAsia="hr-HR"/>
              </w:rPr>
              <w:t>Eksplozivno, velika opasnost od rasprskavanja</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Ekspl. 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H203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i/>
                <w:iCs/>
                <w:sz w:val="22"/>
                <w:szCs w:val="22"/>
                <w:lang w:eastAsia="hr-HR"/>
              </w:rPr>
              <w:t>Eksplozivno; opasnost od vatre, udarnog vala ili rasprskavanja</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Ekspl. 1.4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H204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i/>
                <w:iCs/>
                <w:sz w:val="22"/>
                <w:szCs w:val="22"/>
                <w:lang w:eastAsia="hr-HR"/>
              </w:rPr>
              <w:t>Opasnost od vatre ili rasprskavanja</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Samoreag. A</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H240</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i/>
                <w:iCs/>
                <w:sz w:val="22"/>
                <w:szCs w:val="22"/>
                <w:lang w:eastAsia="hr-HR"/>
              </w:rPr>
              <w:t>Zagrijavanje može uzrokovati eksploziju</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lastRenderedPageBreak/>
              <w:t>Org. peroks. A</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Samoreag. B</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H241</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i/>
                <w:iCs/>
                <w:sz w:val="22"/>
                <w:szCs w:val="22"/>
                <w:lang w:eastAsia="hr-HR"/>
              </w:rPr>
              <w:t>Zagrijavanje može uzrokovati požar ili eksploziju</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Org. peroks. B</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slučaju kad je poznato da je proizvod koji je postao otpad eksplozivan, treba ga razmotriti za oznaku HP 1.</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Određene tvari mogu biti eksplozivne u određenim uvjetima, npr. one kojima je dodijeljena šifra oznake upozorenja H205 U vatri može izazvati eksploziju ogromnih razmjera ili EUH001 Eksplozivno u suhom stanju. Te tvari ne čine otpad opasnim prema oznaci HP 1, ali njihova prisutnost u otpadu može dovesti do toga da taj otpad pokazuje opasno svojstvo HP 15; za pojedinosti vidjeti odjeljak 1.2.1.</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Za otpad koji sadržava tvar razvrstanu kao H240 ili H241, u slučaju kad otpad nije opasan prema oznaci HP 1, treba razmotriti oznaku HP 3 „Zapaljivo”.</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Na slici 7. prikazan je postupak određivanja za HP 1.</w:t>
      </w:r>
      <w:hyperlink r:id="rId163" w:anchor="ntr1-C_2018124HR.01008701-E0001"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1</w:t>
        </w:r>
        <w:r w:rsidRPr="005203CE">
          <w:rPr>
            <w:rFonts w:ascii="inherit" w:eastAsia="Times New Roman" w:hAnsi="inherit" w:cs="Times New Roman"/>
            <w:color w:val="0000FF"/>
            <w:szCs w:val="24"/>
            <w:u w:val="single"/>
            <w:lang w:eastAsia="hr-HR"/>
          </w:rPr>
          <w:t>)</w:t>
        </w:r>
      </w:hyperlink>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noProof/>
          <w:color w:val="000000"/>
          <w:szCs w:val="24"/>
          <w:lang w:eastAsia="hr-HR"/>
        </w:rPr>
        <w:drawing>
          <wp:inline distT="0" distB="0" distL="0" distR="0">
            <wp:extent cx="5400675" cy="1838325"/>
            <wp:effectExtent l="0" t="0" r="9525" b="9525"/>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400675" cy="1838325"/>
                    </a:xfrm>
                    <a:prstGeom prst="rect">
                      <a:avLst/>
                    </a:prstGeom>
                    <a:noFill/>
                    <a:ln>
                      <a:noFill/>
                    </a:ln>
                  </pic:spPr>
                </pic:pic>
              </a:graphicData>
            </a:graphic>
          </wp:inline>
        </w:drawing>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Ispitne metode</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dijelu A Priloga Uredbi o ispitnim metodama navodi se sljedeća ispitna metoda koja se može razmotriti u ocjenjivanju za oznaku HP 1 „Eksplozivno”:</w:t>
      </w:r>
    </w:p>
    <w:tbl>
      <w:tblPr>
        <w:tblW w:w="5000" w:type="pct"/>
        <w:tblCellSpacing w:w="0" w:type="dxa"/>
        <w:tblCellMar>
          <w:left w:w="0" w:type="dxa"/>
          <w:right w:w="0" w:type="dxa"/>
        </w:tblCellMar>
        <w:tblLook w:val="04A0" w:firstRow="1" w:lastRow="0" w:firstColumn="1" w:lastColumn="0" w:noHBand="0" w:noVBand="1"/>
      </w:tblPr>
      <w:tblGrid>
        <w:gridCol w:w="759"/>
        <w:gridCol w:w="8313"/>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A.14. Eksplozivna svojstva</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Otpad koji sadržava tvari navedene u tablici 8. treba ispitati u pogledu eksplozivnih svojstava u skladu sa Smjernicama ECHA-e za CLP.</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U Smjernicama ECHA-e za CLP predviđeni su zasebni odjeljci za ispitivanje smjesa koje sadržavaju:</w:t>
      </w:r>
    </w:p>
    <w:tbl>
      <w:tblPr>
        <w:tblW w:w="5000" w:type="pct"/>
        <w:tblCellSpacing w:w="0" w:type="dxa"/>
        <w:tblCellMar>
          <w:left w:w="0" w:type="dxa"/>
          <w:right w:w="0" w:type="dxa"/>
        </w:tblCellMar>
        <w:tblLook w:val="04A0" w:firstRow="1" w:lastRow="0" w:firstColumn="1" w:lastColumn="0" w:noHBand="0" w:noVBand="1"/>
      </w:tblPr>
      <w:tblGrid>
        <w:gridCol w:w="1008"/>
        <w:gridCol w:w="8064"/>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organske perokside,</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678"/>
        <w:gridCol w:w="8394"/>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samoreagirajuće tvari i smjese,</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641"/>
        <w:gridCol w:w="7431"/>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eksplozive.</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Uredbom CLP samoreagirajuće tvari i smjese razvrstane su u jednu od sedam kategorija „tipova od A do G”; vidjeti Smjernice ECHA-e za CLP. Otpad koji sadržava organski peroksid ili samoreagirajuću tvar ima oznaku HP 1 kad je taj otpad ispitivanjem razvrstan kao tip A (H240) ili tip B (H241). Ako to nije slučaj, otpad koji je razvrstan kao tip C, D, E ili F (H242) ima oznaku HP 3.</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lastRenderedPageBreak/>
        <w:t>Otpad koji sadržava neku drugu tvar navedenu u tablici 8., ako je taj otpad ispitivanjem razvrstan kao nestabilni eksploziv (H200), odjeljak 1.1.(H201), 1.2.(H202), 1.3.(H203) ili 1.4.(H204), ima oznaku HP 1.</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Detaljan primjer za ocjenjivanje organskog peroksida u pogledu oznake HP 1 nalazi se u odjeljku 1.4.7. Priloga 1.</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bookmarkStart w:id="1" w:name="HP2"/>
      <w:r w:rsidRPr="005203CE">
        <w:rPr>
          <w:rFonts w:ascii="inherit" w:eastAsia="Times New Roman" w:hAnsi="inherit" w:cs="Times New Roman"/>
          <w:b/>
          <w:bCs/>
          <w:color w:val="000000"/>
          <w:szCs w:val="24"/>
          <w:lang w:eastAsia="hr-HR"/>
        </w:rPr>
        <w:t>3.2.    </w:t>
      </w:r>
      <w:r w:rsidRPr="005203CE">
        <w:rPr>
          <w:rFonts w:ascii="inherit" w:eastAsia="Times New Roman" w:hAnsi="inherit" w:cs="Times New Roman"/>
          <w:b/>
          <w:bCs/>
          <w:i/>
          <w:iCs/>
          <w:color w:val="000000"/>
          <w:szCs w:val="24"/>
          <w:lang w:eastAsia="hr-HR"/>
        </w:rPr>
        <w:t>Određivanje oznake HP 2: Oksidirajuće</w:t>
      </w:r>
    </w:p>
    <w:bookmarkEnd w:id="1"/>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Definicija i daljnji opis iz Priloga III. ODO-u</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Prilogu III. ODO-u oznaka HP 2 „Oksidirajuće” definira se kao:</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„otpad koji može, uglavnom s pomoću kisika, izazvati ili pospješiti zapaljenje drugih materijala”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ODO-u se dalje objašnjava: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„Kad otpad sadržava jednu ili više tvari koje su razvrstane u razrede opasnosti i prema šiframa kategorija i šiframa oznaka upozorenja iz tablice 2.</w:t>
      </w:r>
      <w:r w:rsidRPr="005203CE">
        <w:rPr>
          <w:rFonts w:ascii="inherit" w:eastAsia="Times New Roman" w:hAnsi="inherit" w:cs="Times New Roman"/>
          <w:color w:val="000000"/>
          <w:szCs w:val="24"/>
          <w:lang w:eastAsia="hr-HR"/>
        </w:rPr>
        <w:t> [vidjeti tablicu 9. u ovom dokumentu]</w:t>
      </w:r>
      <w:r w:rsidRPr="005203CE">
        <w:rPr>
          <w:rFonts w:ascii="inherit" w:eastAsia="Times New Roman" w:hAnsi="inherit" w:cs="Times New Roman"/>
          <w:i/>
          <w:iCs/>
          <w:color w:val="000000"/>
          <w:szCs w:val="24"/>
          <w:lang w:eastAsia="hr-HR"/>
        </w:rPr>
        <w:t>, otpad se, prema p</w:t>
      </w:r>
      <w:bookmarkStart w:id="2" w:name="_GoBack"/>
      <w:bookmarkEnd w:id="2"/>
      <w:r w:rsidRPr="005203CE">
        <w:rPr>
          <w:rFonts w:ascii="inherit" w:eastAsia="Times New Roman" w:hAnsi="inherit" w:cs="Times New Roman"/>
          <w:i/>
          <w:iCs/>
          <w:color w:val="000000"/>
          <w:szCs w:val="24"/>
          <w:lang w:eastAsia="hr-HR"/>
        </w:rPr>
        <w:t>otrebi i razmjerno, u pogledu oznake HP 2 ocjenjuje u skladu s ispitnim metodama. Ako prisutnost tvari, smjese ili nekog dijela ukazuje na oksidiranje otpada, otpad se klasificira kao opasan oznakom HP 2.”</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Otpad koji sadržava tvari koje su razvrstane u razred opasnosti te prema šiframa kategorija i oznaka upozorenja u tablici 9. može se ispitati kako bi se pokazalo sadržava li opasna svojstva. Druga je opcija da se za otpad koji sadržava te tvari jednostavno pretpostavi da je opasan prema oznaci HP 2.</w:t>
      </w:r>
    </w:p>
    <w:p w:rsidR="005203CE" w:rsidRPr="005203CE" w:rsidRDefault="005203CE" w:rsidP="005203CE">
      <w:pPr>
        <w:spacing w:before="120" w:after="120" w:line="240" w:lineRule="auto"/>
        <w:jc w:val="center"/>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Tablica 9.</w:t>
      </w:r>
    </w:p>
    <w:p w:rsidR="005203CE" w:rsidRPr="005203CE" w:rsidRDefault="005203CE" w:rsidP="005203CE">
      <w:pPr>
        <w:spacing w:before="120" w:after="120" w:line="240" w:lineRule="auto"/>
        <w:jc w:val="center"/>
        <w:rPr>
          <w:rFonts w:ascii="inherit" w:eastAsia="Times New Roman" w:hAnsi="inherit" w:cs="Times New Roman"/>
          <w:color w:val="000000"/>
          <w:szCs w:val="24"/>
          <w:lang w:eastAsia="hr-HR"/>
        </w:rPr>
      </w:pPr>
      <w:r w:rsidRPr="005203CE">
        <w:rPr>
          <w:rFonts w:ascii="inherit" w:eastAsia="Times New Roman" w:hAnsi="inherit" w:cs="Times New Roman"/>
          <w:b/>
          <w:bCs/>
          <w:color w:val="000000"/>
          <w:szCs w:val="24"/>
          <w:lang w:eastAsia="hr-HR"/>
        </w:rPr>
        <w:t>Razred opasnosti, šifre kategorija i šifre oznaka upozorenja za sastojke otpada radi njegova razvrstavanja kao opasnog prema oznaci HP 2 Oksidirajuće</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993"/>
        <w:gridCol w:w="2273"/>
        <w:gridCol w:w="3790"/>
      </w:tblGrid>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Razred opasnosti i šifre kategorija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Šifre oznaka upozorenja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Opis</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Oks. plin 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H270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i/>
                <w:iCs/>
                <w:sz w:val="22"/>
                <w:szCs w:val="22"/>
                <w:lang w:eastAsia="hr-HR"/>
              </w:rPr>
              <w:t>Može uzrokovati ili pojačati požar; oksidans</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Oks. tek. 1</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H271</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i/>
                <w:iCs/>
                <w:sz w:val="22"/>
                <w:szCs w:val="22"/>
                <w:lang w:eastAsia="hr-HR"/>
              </w:rPr>
              <w:t>Može uzrokovati požar ili eksploziju; jaki oksidans</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Oks. krut. 1</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Oks. tek. 2</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Oks. tek. 3</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H272</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i/>
                <w:iCs/>
                <w:sz w:val="22"/>
                <w:szCs w:val="22"/>
                <w:lang w:eastAsia="hr-HR"/>
              </w:rPr>
              <w:t>Može pojačati požar; oksidans</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Oks. krut. 2</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Oks. krut. 3</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sljedećim slučajevima:</w:t>
      </w:r>
    </w:p>
    <w:tbl>
      <w:tblPr>
        <w:tblW w:w="5000" w:type="pct"/>
        <w:tblCellSpacing w:w="0" w:type="dxa"/>
        <w:tblCellMar>
          <w:left w:w="0" w:type="dxa"/>
          <w:right w:w="0" w:type="dxa"/>
        </w:tblCellMar>
        <w:tblLook w:val="04A0" w:firstRow="1" w:lastRow="0" w:firstColumn="1" w:lastColumn="0" w:noHBand="0" w:noVBand="1"/>
      </w:tblPr>
      <w:tblGrid>
        <w:gridCol w:w="493"/>
        <w:gridCol w:w="8579"/>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ako otpad sadržava samo jednu od tih tvari,</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ako se toj tvari dodjeljuje specifična granična vrijednost koncentracije u tablici 3. u dijelu 3. Priloga VI. Uredbi CLP. Potrebno je napomenuti da ne postoje opće granične vrijednosti koncentracije koje se primjenjuju na ovaj razred opasnosti,</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359"/>
        <w:gridCol w:w="8713"/>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lastRenderedPageBreak/>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ako je ta tvar prisutna u otpadu ispod te granične vrijednosti,</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može se pretpostaviti da otpad nije opasan prema oznaci HP 2.</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Primjer je „dušična kiselina”, koja je navedena s oznakom H272, oks. tek. 3 sa specifičnom graničnom vrijednosti koncentracije od ≥ 65 %. Kada je „dušična kiselina” u otpadu prisutna u koncentraciji većoj od 65 %, taj je otpad potrebno razvrstati kao HP 2 (kao dodatak oznaci HP 8). Jedina druga tvar koja prema 10. prilagodbi Uredbe CLP tehničkom napretku</w:t>
      </w:r>
      <w:hyperlink r:id="rId165" w:anchor="ntr2-C_2018124HR.01008701-E0002"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2</w:t>
        </w:r>
        <w:r w:rsidRPr="005203CE">
          <w:rPr>
            <w:rFonts w:ascii="inherit" w:eastAsia="Times New Roman" w:hAnsi="inherit" w:cs="Times New Roman"/>
            <w:color w:val="0000FF"/>
            <w:szCs w:val="24"/>
            <w:u w:val="single"/>
            <w:lang w:eastAsia="hr-HR"/>
          </w:rPr>
          <w:t>)</w:t>
        </w:r>
      </w:hyperlink>
      <w:r w:rsidRPr="005203CE">
        <w:rPr>
          <w:rFonts w:ascii="inherit" w:eastAsia="Times New Roman" w:hAnsi="inherit" w:cs="Times New Roman"/>
          <w:color w:val="000000"/>
          <w:szCs w:val="24"/>
          <w:lang w:eastAsia="hr-HR"/>
        </w:rPr>
        <w:t> ima specifičnu graničnu vrijednost koncentracije za oksidirajuća svojstva jest vodikov peroksid s graničnom vrijednosti od 50 %.</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Metoda izračuna za oksidirajuće plinove</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Ako otpad sadržava tvar kojoj je dodijeljena oznaka H270, moguće je izračunati posjeduje li taj otpad svojstvo HP 2. Metoda izračuna navedena je u normi ISO 10156 (kako je izmijenjena) te ju je potrebno primjenjivati u skladu sa Smjernicama ECHA-e za CLP.</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Na slici 8. prikazan je postupak određivanja za HP 2.</w:t>
      </w:r>
      <w:hyperlink r:id="rId166" w:anchor="ntr3-C_2018124HR.01008701-E0003"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3</w:t>
        </w:r>
        <w:r w:rsidRPr="005203CE">
          <w:rPr>
            <w:rFonts w:ascii="inherit" w:eastAsia="Times New Roman" w:hAnsi="inherit" w:cs="Times New Roman"/>
            <w:color w:val="0000FF"/>
            <w:szCs w:val="24"/>
            <w:u w:val="single"/>
            <w:lang w:eastAsia="hr-HR"/>
          </w:rPr>
          <w:t>)</w:t>
        </w:r>
      </w:hyperlink>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noProof/>
          <w:color w:val="000000"/>
          <w:szCs w:val="24"/>
          <w:lang w:eastAsia="hr-HR"/>
        </w:rPr>
        <w:drawing>
          <wp:inline distT="0" distB="0" distL="0" distR="0">
            <wp:extent cx="5772150" cy="5010150"/>
            <wp:effectExtent l="0" t="0" r="0" b="0"/>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772150" cy="5010150"/>
                    </a:xfrm>
                    <a:prstGeom prst="rect">
                      <a:avLst/>
                    </a:prstGeom>
                    <a:noFill/>
                    <a:ln>
                      <a:noFill/>
                    </a:ln>
                  </pic:spPr>
                </pic:pic>
              </a:graphicData>
            </a:graphic>
          </wp:inline>
        </w:drawing>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Ispitne metode</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dijelu A Priloga Uredbi o ispitnim metodama navode se sljedeće ispitne metode koje se mogu razmotriti u ocjenjivanju za oznaku HP 2 „Oksidirajuće”:</w:t>
      </w:r>
    </w:p>
    <w:tbl>
      <w:tblPr>
        <w:tblW w:w="5000" w:type="pct"/>
        <w:tblCellSpacing w:w="0" w:type="dxa"/>
        <w:tblCellMar>
          <w:left w:w="0" w:type="dxa"/>
          <w:right w:w="0" w:type="dxa"/>
        </w:tblCellMar>
        <w:tblLook w:val="04A0" w:firstRow="1" w:lastRow="0" w:firstColumn="1" w:lastColumn="0" w:noHBand="0" w:noVBand="1"/>
      </w:tblPr>
      <w:tblGrid>
        <w:gridCol w:w="528"/>
        <w:gridCol w:w="8544"/>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lastRenderedPageBreak/>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A.17. Oksidirajuća svojstva (krute tvari)</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553"/>
        <w:gridCol w:w="8519"/>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A.21. Oksidirajuća svojstva (tekućine)</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Otpad koji sadržava tvari navedene u tablici 9. treba ispitati s obzirom na oksidirajuća svojstva u skladu sa Smjernicama ECHA-e za CLP. U Smjernicama ECHA-e za CLP predviđeni su zasebni odjeljci za ispitivanje smjesa koje sadržavaju:</w:t>
      </w:r>
    </w:p>
    <w:tbl>
      <w:tblPr>
        <w:tblW w:w="5000" w:type="pct"/>
        <w:tblCellSpacing w:w="0" w:type="dxa"/>
        <w:tblCellMar>
          <w:left w:w="0" w:type="dxa"/>
          <w:right w:w="0" w:type="dxa"/>
        </w:tblCellMar>
        <w:tblLook w:val="04A0" w:firstRow="1" w:lastRow="0" w:firstColumn="1" w:lastColumn="0" w:noHBand="0" w:noVBand="1"/>
      </w:tblPr>
      <w:tblGrid>
        <w:gridCol w:w="966"/>
        <w:gridCol w:w="8106"/>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oksidirajuće plinove,</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928"/>
        <w:gridCol w:w="8144"/>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oksidirajuće tekućine,</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862"/>
        <w:gridCol w:w="8210"/>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oksidirajuće krute tvari.</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Otpad koji sadržava oksidirajuću tvar, a ispitivanjem je razvrstan kao H270, H271 ili H272, ima oznaku HP 2.</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3.3.    </w:t>
      </w:r>
      <w:r w:rsidRPr="005203CE">
        <w:rPr>
          <w:rFonts w:ascii="inherit" w:eastAsia="Times New Roman" w:hAnsi="inherit" w:cs="Times New Roman"/>
          <w:b/>
          <w:bCs/>
          <w:i/>
          <w:iCs/>
          <w:color w:val="000000"/>
          <w:szCs w:val="24"/>
          <w:lang w:eastAsia="hr-HR"/>
        </w:rPr>
        <w:t>Određivanje oznake HP 3: Zapaljivo</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Definicija i daljnji opis iz Priloga III. ODO-u</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Prilogu III. ODO-u HP 3 „Zapaljivo” se u šest alineja definira kao:</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   </w:t>
      </w:r>
      <w:r w:rsidRPr="005203CE">
        <w:rPr>
          <w:rFonts w:ascii="inherit" w:eastAsia="Times New Roman" w:hAnsi="inherit" w:cs="Times New Roman"/>
          <w:b/>
          <w:bCs/>
          <w:color w:val="000000"/>
          <w:szCs w:val="24"/>
          <w:lang w:eastAsia="hr-HR"/>
        </w:rPr>
        <w:t> </w:t>
      </w:r>
      <w:r w:rsidRPr="005203CE">
        <w:rPr>
          <w:rFonts w:ascii="inherit" w:eastAsia="Times New Roman" w:hAnsi="inherit" w:cs="Times New Roman"/>
          <w:b/>
          <w:bCs/>
          <w:i/>
          <w:iCs/>
          <w:color w:val="000000"/>
          <w:szCs w:val="24"/>
          <w:lang w:eastAsia="hr-HR"/>
        </w:rPr>
        <w:t>„zapaljiv tekući otpad</w:t>
      </w:r>
      <w:r w:rsidRPr="005203CE">
        <w:rPr>
          <w:rFonts w:ascii="inherit" w:eastAsia="Times New Roman" w:hAnsi="inherit" w:cs="Times New Roman"/>
          <w:b/>
          <w:bCs/>
          <w:color w:val="000000"/>
          <w:szCs w:val="24"/>
          <w:lang w:eastAsia="hr-HR"/>
        </w:rPr>
        <w:t> </w:t>
      </w:r>
      <w:r w:rsidRPr="005203CE">
        <w:rPr>
          <w:rFonts w:ascii="inherit" w:eastAsia="Times New Roman" w:hAnsi="inherit" w:cs="Times New Roman"/>
          <w:color w:val="000000"/>
          <w:szCs w:val="24"/>
          <w:lang w:eastAsia="hr-HR"/>
        </w:rPr>
        <w:t>:</w:t>
      </w:r>
    </w:p>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tekući otpad s plamištem ispod 60 °C ili otpadno plinsko ulje, dizel i laka loživa ulja s plamištem između &gt; 55 °C i ≤ 75 °C,</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   </w:t>
      </w:r>
      <w:r w:rsidRPr="005203CE">
        <w:rPr>
          <w:rFonts w:ascii="inherit" w:eastAsia="Times New Roman" w:hAnsi="inherit" w:cs="Times New Roman"/>
          <w:b/>
          <w:bCs/>
          <w:color w:val="000000"/>
          <w:szCs w:val="24"/>
          <w:lang w:eastAsia="hr-HR"/>
        </w:rPr>
        <w:t> </w:t>
      </w:r>
      <w:r w:rsidRPr="005203CE">
        <w:rPr>
          <w:rFonts w:ascii="inherit" w:eastAsia="Times New Roman" w:hAnsi="inherit" w:cs="Times New Roman"/>
          <w:b/>
          <w:bCs/>
          <w:i/>
          <w:iCs/>
          <w:color w:val="000000"/>
          <w:szCs w:val="24"/>
          <w:lang w:eastAsia="hr-HR"/>
        </w:rPr>
        <w:t>zapaljive piroforne tekućine i kruti otpad</w:t>
      </w:r>
      <w:r w:rsidRPr="005203CE">
        <w:rPr>
          <w:rFonts w:ascii="inherit" w:eastAsia="Times New Roman" w:hAnsi="inherit" w:cs="Times New Roman"/>
          <w:b/>
          <w:bCs/>
          <w:color w:val="000000"/>
          <w:szCs w:val="24"/>
          <w:lang w:eastAsia="hr-HR"/>
        </w:rPr>
        <w:t> </w:t>
      </w:r>
      <w:r w:rsidRPr="005203CE">
        <w:rPr>
          <w:rFonts w:ascii="inherit" w:eastAsia="Times New Roman" w:hAnsi="inherit" w:cs="Times New Roman"/>
          <w:color w:val="000000"/>
          <w:szCs w:val="24"/>
          <w:lang w:eastAsia="hr-HR"/>
        </w:rPr>
        <w:t>:</w:t>
      </w:r>
    </w:p>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kruti ili tekući otpad koji se čak i u malim količinama može zapaliti u roku od pet minuta nakon dodira sa zrakom,</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   </w:t>
      </w:r>
      <w:r w:rsidRPr="005203CE">
        <w:rPr>
          <w:rFonts w:ascii="inherit" w:eastAsia="Times New Roman" w:hAnsi="inherit" w:cs="Times New Roman"/>
          <w:b/>
          <w:bCs/>
          <w:color w:val="000000"/>
          <w:szCs w:val="24"/>
          <w:lang w:eastAsia="hr-HR"/>
        </w:rPr>
        <w:t> </w:t>
      </w:r>
      <w:r w:rsidRPr="005203CE">
        <w:rPr>
          <w:rFonts w:ascii="inherit" w:eastAsia="Times New Roman" w:hAnsi="inherit" w:cs="Times New Roman"/>
          <w:b/>
          <w:bCs/>
          <w:i/>
          <w:iCs/>
          <w:color w:val="000000"/>
          <w:szCs w:val="24"/>
          <w:lang w:eastAsia="hr-HR"/>
        </w:rPr>
        <w:t>zapaljiv kruti otpad</w:t>
      </w:r>
      <w:r w:rsidRPr="005203CE">
        <w:rPr>
          <w:rFonts w:ascii="inherit" w:eastAsia="Times New Roman" w:hAnsi="inherit" w:cs="Times New Roman"/>
          <w:b/>
          <w:bCs/>
          <w:color w:val="000000"/>
          <w:szCs w:val="24"/>
          <w:lang w:eastAsia="hr-HR"/>
        </w:rPr>
        <w:t> </w:t>
      </w:r>
      <w:r w:rsidRPr="005203CE">
        <w:rPr>
          <w:rFonts w:ascii="inherit" w:eastAsia="Times New Roman" w:hAnsi="inherit" w:cs="Times New Roman"/>
          <w:color w:val="000000"/>
          <w:szCs w:val="24"/>
          <w:lang w:eastAsia="hr-HR"/>
        </w:rPr>
        <w:t>:</w:t>
      </w:r>
    </w:p>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kruti otpad koji je lako zapaljiv ili može izazvati ili pospješiti požar trenjem,</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   </w:t>
      </w:r>
      <w:r w:rsidRPr="005203CE">
        <w:rPr>
          <w:rFonts w:ascii="inherit" w:eastAsia="Times New Roman" w:hAnsi="inherit" w:cs="Times New Roman"/>
          <w:b/>
          <w:bCs/>
          <w:color w:val="000000"/>
          <w:szCs w:val="24"/>
          <w:lang w:eastAsia="hr-HR"/>
        </w:rPr>
        <w:t> </w:t>
      </w:r>
      <w:r w:rsidRPr="005203CE">
        <w:rPr>
          <w:rFonts w:ascii="inherit" w:eastAsia="Times New Roman" w:hAnsi="inherit" w:cs="Times New Roman"/>
          <w:b/>
          <w:bCs/>
          <w:i/>
          <w:iCs/>
          <w:color w:val="000000"/>
          <w:szCs w:val="24"/>
          <w:lang w:eastAsia="hr-HR"/>
        </w:rPr>
        <w:t>zapaljiv plinoviti otpad</w:t>
      </w:r>
      <w:r w:rsidRPr="005203CE">
        <w:rPr>
          <w:rFonts w:ascii="inherit" w:eastAsia="Times New Roman" w:hAnsi="inherit" w:cs="Times New Roman"/>
          <w:b/>
          <w:bCs/>
          <w:color w:val="000000"/>
          <w:szCs w:val="24"/>
          <w:lang w:eastAsia="hr-HR"/>
        </w:rPr>
        <w:t> </w:t>
      </w:r>
      <w:r w:rsidRPr="005203CE">
        <w:rPr>
          <w:rFonts w:ascii="inherit" w:eastAsia="Times New Roman" w:hAnsi="inherit" w:cs="Times New Roman"/>
          <w:color w:val="000000"/>
          <w:szCs w:val="24"/>
          <w:lang w:eastAsia="hr-HR"/>
        </w:rPr>
        <w:t>:</w:t>
      </w:r>
    </w:p>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plinoviti otpad koji u dodiru sa zrakom može planuti pri temperaturi od 20 °C i standardnom tlaku od 101,3 kPa,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   </w:t>
      </w:r>
      <w:r w:rsidRPr="005203CE">
        <w:rPr>
          <w:rFonts w:ascii="inherit" w:eastAsia="Times New Roman" w:hAnsi="inherit" w:cs="Times New Roman"/>
          <w:b/>
          <w:bCs/>
          <w:color w:val="000000"/>
          <w:szCs w:val="24"/>
          <w:lang w:eastAsia="hr-HR"/>
        </w:rPr>
        <w:t> </w:t>
      </w:r>
      <w:r w:rsidRPr="005203CE">
        <w:rPr>
          <w:rFonts w:ascii="inherit" w:eastAsia="Times New Roman" w:hAnsi="inherit" w:cs="Times New Roman"/>
          <w:b/>
          <w:bCs/>
          <w:i/>
          <w:iCs/>
          <w:color w:val="000000"/>
          <w:szCs w:val="24"/>
          <w:lang w:eastAsia="hr-HR"/>
        </w:rPr>
        <w:t>otpad koji reagira s vodom</w:t>
      </w:r>
      <w:r w:rsidRPr="005203CE">
        <w:rPr>
          <w:rFonts w:ascii="inherit" w:eastAsia="Times New Roman" w:hAnsi="inherit" w:cs="Times New Roman"/>
          <w:b/>
          <w:bCs/>
          <w:color w:val="000000"/>
          <w:szCs w:val="24"/>
          <w:lang w:eastAsia="hr-HR"/>
        </w:rPr>
        <w:t> </w:t>
      </w:r>
      <w:r w:rsidRPr="005203CE">
        <w:rPr>
          <w:rFonts w:ascii="inherit" w:eastAsia="Times New Roman" w:hAnsi="inherit" w:cs="Times New Roman"/>
          <w:color w:val="000000"/>
          <w:szCs w:val="24"/>
          <w:lang w:eastAsia="hr-HR"/>
        </w:rPr>
        <w:t>:</w:t>
      </w:r>
    </w:p>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otpad koji u dodiru s vodom oslobađa zapaljive plinove u opasnim količinama,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   </w:t>
      </w:r>
      <w:r w:rsidRPr="005203CE">
        <w:rPr>
          <w:rFonts w:ascii="inherit" w:eastAsia="Times New Roman" w:hAnsi="inherit" w:cs="Times New Roman"/>
          <w:b/>
          <w:bCs/>
          <w:color w:val="000000"/>
          <w:szCs w:val="24"/>
          <w:lang w:eastAsia="hr-HR"/>
        </w:rPr>
        <w:t> </w:t>
      </w:r>
      <w:r w:rsidRPr="005203CE">
        <w:rPr>
          <w:rFonts w:ascii="inherit" w:eastAsia="Times New Roman" w:hAnsi="inherit" w:cs="Times New Roman"/>
          <w:b/>
          <w:bCs/>
          <w:i/>
          <w:iCs/>
          <w:color w:val="000000"/>
          <w:szCs w:val="24"/>
          <w:lang w:eastAsia="hr-HR"/>
        </w:rPr>
        <w:t>ostali zapaljiv otpad</w:t>
      </w:r>
      <w:r w:rsidRPr="005203CE">
        <w:rPr>
          <w:rFonts w:ascii="inherit" w:eastAsia="Times New Roman" w:hAnsi="inherit" w:cs="Times New Roman"/>
          <w:b/>
          <w:bCs/>
          <w:color w:val="000000"/>
          <w:szCs w:val="24"/>
          <w:lang w:eastAsia="hr-HR"/>
        </w:rPr>
        <w:t> </w:t>
      </w:r>
      <w:r w:rsidRPr="005203CE">
        <w:rPr>
          <w:rFonts w:ascii="inherit" w:eastAsia="Times New Roman" w:hAnsi="inherit" w:cs="Times New Roman"/>
          <w:color w:val="000000"/>
          <w:szCs w:val="24"/>
          <w:lang w:eastAsia="hr-HR"/>
        </w:rPr>
        <w:t>:</w:t>
      </w:r>
    </w:p>
    <w:p w:rsidR="005203CE" w:rsidRPr="005203CE" w:rsidRDefault="005203CE" w:rsidP="005203CE">
      <w:pPr>
        <w:spacing w:after="0" w:line="240" w:lineRule="auto"/>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zapaljivi aerosoli, zapaljiv samozagrijavajući otpad, zapaljivi organski peroksidi i zapaljiv samoreagirajući otpad.”</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ODO-u se dalje objašnjava: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„Kad otpad sadržava jednu ili više tvari koje su razvrstane u jedan od sljedećih razreda opasnosti i prema šiframa kategorija i šiframa oznaka upozorenja iz tablice 3.</w:t>
      </w:r>
      <w:r w:rsidRPr="005203CE">
        <w:rPr>
          <w:rFonts w:ascii="inherit" w:eastAsia="Times New Roman" w:hAnsi="inherit" w:cs="Times New Roman"/>
          <w:color w:val="000000"/>
          <w:szCs w:val="24"/>
          <w:lang w:eastAsia="hr-HR"/>
        </w:rPr>
        <w:t> [vidjeti tablicu 10. u ovom dokumentu]</w:t>
      </w:r>
      <w:r w:rsidRPr="005203CE">
        <w:rPr>
          <w:rFonts w:ascii="inherit" w:eastAsia="Times New Roman" w:hAnsi="inherit" w:cs="Times New Roman"/>
          <w:i/>
          <w:iCs/>
          <w:color w:val="000000"/>
          <w:szCs w:val="24"/>
          <w:lang w:eastAsia="hr-HR"/>
        </w:rPr>
        <w:t>, otpad se, prema potrebi i razmjerno, ocjenjuje u skladu s ispitnim metodama. Ako prisutnost tvari, smjese ili nekog dijela ukazuje na zapaljivost otpada, otpad se klasificira kao opasan oznakom HP 3.”</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 xml:space="preserve">Otpad koji sadržava tvari koje su razvrstane u razred opasnosti te prema šiframa kategorija i oznaka upozorenja u tablici 10. može se ispitati kako bi se pokazalo sadržava li opasna svojstva. </w:t>
      </w:r>
      <w:r w:rsidRPr="005203CE">
        <w:rPr>
          <w:rFonts w:ascii="inherit" w:eastAsia="Times New Roman" w:hAnsi="inherit" w:cs="Times New Roman"/>
          <w:color w:val="000000"/>
          <w:szCs w:val="24"/>
          <w:lang w:eastAsia="hr-HR"/>
        </w:rPr>
        <w:lastRenderedPageBreak/>
        <w:t>Druga je opcija da se za otpad koji sadržava te tvari u količinama osim onih u tragovima, jednostavno pretpostavi da je opasan prema oznaci HP 3.</w:t>
      </w:r>
    </w:p>
    <w:p w:rsidR="005203CE" w:rsidRPr="005203CE" w:rsidRDefault="005203CE" w:rsidP="005203CE">
      <w:pPr>
        <w:spacing w:before="120" w:after="120" w:line="240" w:lineRule="auto"/>
        <w:jc w:val="center"/>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Tablica 10.</w:t>
      </w:r>
    </w:p>
    <w:p w:rsidR="005203CE" w:rsidRPr="005203CE" w:rsidRDefault="005203CE" w:rsidP="005203CE">
      <w:pPr>
        <w:spacing w:before="120" w:after="120" w:line="240" w:lineRule="auto"/>
        <w:jc w:val="center"/>
        <w:rPr>
          <w:rFonts w:ascii="inherit" w:eastAsia="Times New Roman" w:hAnsi="inherit" w:cs="Times New Roman"/>
          <w:color w:val="000000"/>
          <w:szCs w:val="24"/>
          <w:lang w:eastAsia="hr-HR"/>
        </w:rPr>
      </w:pPr>
      <w:r w:rsidRPr="005203CE">
        <w:rPr>
          <w:rFonts w:ascii="inherit" w:eastAsia="Times New Roman" w:hAnsi="inherit" w:cs="Times New Roman"/>
          <w:b/>
          <w:bCs/>
          <w:color w:val="000000"/>
          <w:szCs w:val="24"/>
          <w:lang w:eastAsia="hr-HR"/>
        </w:rPr>
        <w:t>Razred opasnosti, šifre kategorija i šifre oznaka upozorenja za sastojke otpada radi njegova razvrstavanja kao opasnog prema oznaci HP 3 „Zapaljivo”</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482"/>
        <w:gridCol w:w="1993"/>
        <w:gridCol w:w="4581"/>
      </w:tblGrid>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Razred opasnosti i šifre kategorija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Šifre oznaka upozorenja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Opis</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Zapalj. plin 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H220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Vrlo lako zapaljiv plin</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Zapalj. plin 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H221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Zapaljiv plin</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Aerosol 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H222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Vrlo lako zapaljiv aerosol</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Aerosol 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H223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Zapaljiv aerosol</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Zapalj. tek. 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H224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Vrlo lako zapaljiva tekućina i para</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Zapalj. tek. 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H225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Lako zapaljiva tekućina i para</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Zapalj. tek. 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H226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Zapaljiva tekućina i para</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Zapalj. krut. 1</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Zapalj. krut. 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H228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Zapaljiva krutina</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Samoreag. CD</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Samoreag. EF</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Org. peroks. CD</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Org. peroks. EF</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H242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Zagrijavanje može uzrokovati požar</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Piro. tek. 1</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Piro. krut. 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H250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Samozapaljivo u dodiru sa zrakom</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Samozagr. 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H251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Samozagrijavanje: može se zapaliti</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Samozagr. 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H252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Samozagrijavanje u velikim količinama; može se zapaliti</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Reakc. s vodom 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H260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U dodiru s vodom oslobađa zapaljive plinove koji se mogu spontano zapaliti</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Reakc. s vodom 2</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Reakc. s vodom 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H261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U dodiru s vodom oslobađa zapaljive plinove</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Ako otpad sadržava tvar kojoj je dodijeljena oznaka H220 ili H221, moguće je izračunati ima li taj otpad oznaku HP 3 (četvrta alineja). Metoda izračuna navedena je u normi ISO 10156 te ju je potrebno primjenjivati u skladu sa Smjernicama ECHA-e za CLP.</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Ako otpad sadržava tvar kojoj je dodijeljena oznaka H260 ili H261, tj. tvar koja nakon dodavanja vode može oslobađati vrlo lako zapaljiv plin brzinom većom od 1 litre plina po kilogramu tvari po satu, moguće je izračunati minimalnu koncentraciju tvari u otpadu kojom zbog koje bi on postao opasan prema oznaci HP 3 (peta alineja). Ako je koncentracija manja od navedene, otpad se ne smatra opasnim u smislu oznake HP 3 (peta alineja). U slučaju koncentracije koja je navedena ili veća, otpad treba smatrati opasnim prema oznaci HP 3 ili ga je potrebno ispitati. Primjeri tvari i izračuni dostupni su u Smjernicama Ujedinjene Kraljevine i prikazani su u odjeljku u nastavku.</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lastRenderedPageBreak/>
        <w:t>Kratak primjer za ocjenjivanje organskih peroksida u pogledu oznake HP 3 na temelju ocjenjivanja za oznaku HP 1 dostupan je u odjeljku 1.4.7. Na slici 9. prikazan je postupak određivanja za HP 3.</w:t>
      </w:r>
      <w:hyperlink r:id="rId168" w:anchor="ntr4-C_2018124HR.01008701-E0004"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4</w:t>
        </w:r>
        <w:r w:rsidRPr="005203CE">
          <w:rPr>
            <w:rFonts w:ascii="inherit" w:eastAsia="Times New Roman" w:hAnsi="inherit" w:cs="Times New Roman"/>
            <w:color w:val="0000FF"/>
            <w:szCs w:val="24"/>
            <w:u w:val="single"/>
            <w:lang w:eastAsia="hr-HR"/>
          </w:rPr>
          <w:t>)</w:t>
        </w:r>
      </w:hyperlink>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noProof/>
          <w:color w:val="000000"/>
          <w:szCs w:val="24"/>
          <w:lang w:eastAsia="hr-HR"/>
        </w:rPr>
        <w:lastRenderedPageBreak/>
        <w:drawing>
          <wp:inline distT="0" distB="0" distL="0" distR="0">
            <wp:extent cx="6410325" cy="8562975"/>
            <wp:effectExtent l="0" t="0" r="9525" b="9525"/>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410325" cy="8562975"/>
                    </a:xfrm>
                    <a:prstGeom prst="rect">
                      <a:avLst/>
                    </a:prstGeom>
                    <a:noFill/>
                    <a:ln>
                      <a:noFill/>
                    </a:ln>
                  </pic:spPr>
                </pic:pic>
              </a:graphicData>
            </a:graphic>
          </wp:inline>
        </w:drawing>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lastRenderedPageBreak/>
        <w:t>Metoda izračuna za oznaku HP 3 (peta alineja)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Kako je već navedeno, tvari je dodijeljena oznaka H260 ili H261 ako nakon dodavanja vode može oslobađati vrlo lako zapaljiv plin brzinom većom od 1 litre plina po kilogramu tvari po satu.</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Ako otpad sadržava tvar kojoj je dodijeljena oznaka H260 ili H261, moguće je izračunati graničnu vrijednost koncentracije tvari u otpadu zbog koje bi se razvrstao kao opasan prema oznaci HP 3 (peta alineja). Ovom se metodom izračuna količina reagirajuće tvari potrebne za oslobađanje jedne litre zapaljivog plina izračunava na temelju stehiometrije te primjenom volumena mola plina pri standardnom tlaku i temperaturi. Granična vrijednost koncentracije za jednu litru preuzeta je iz ispitne metode A.12. Zapaljivost (u dodiru s vodom) kako je opisano u dijelu A Priloga Uredbi o ispitnim metodama.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koncentracijama manjima od navedene otpad se neće smatrati opasnim prema oznaci HP 3 (peta alineja). Ako je koncentracija jednaka navedenoj ili veća od nje, otpad treba smatrati opasnim prema oznaci HP 3 ili ga je potrebno ispitati. Primjer izračuna preuzet je iz Smjernica Ujedinjene Kraljevine i prikazan u okviru 3.</w:t>
      </w:r>
      <w:hyperlink r:id="rId170" w:anchor="ntr5-C_2018124HR.01008701-E0005"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5</w:t>
        </w:r>
        <w:r w:rsidRPr="005203CE">
          <w:rPr>
            <w:rFonts w:ascii="inherit" w:eastAsia="Times New Roman" w:hAnsi="inherit" w:cs="Times New Roman"/>
            <w:color w:val="0000FF"/>
            <w:szCs w:val="24"/>
            <w:u w:val="single"/>
            <w:lang w:eastAsia="hr-HR"/>
          </w:rPr>
          <w:t>)</w:t>
        </w:r>
      </w:hyperlink>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5203CE" w:rsidRPr="005203CE" w:rsidTr="005203C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203CE" w:rsidRPr="005203CE" w:rsidRDefault="005203CE" w:rsidP="005203CE">
            <w:pPr>
              <w:spacing w:before="240" w:after="120" w:line="240" w:lineRule="auto"/>
              <w:jc w:val="both"/>
              <w:rPr>
                <w:rFonts w:ascii="inherit" w:eastAsia="Times New Roman" w:hAnsi="inherit" w:cs="Times New Roman"/>
                <w:b/>
                <w:bCs/>
                <w:szCs w:val="24"/>
                <w:lang w:eastAsia="hr-HR"/>
              </w:rPr>
            </w:pPr>
            <w:r w:rsidRPr="005203CE">
              <w:rPr>
                <w:rFonts w:ascii="inherit" w:eastAsia="Times New Roman" w:hAnsi="inherit" w:cs="Times New Roman"/>
                <w:b/>
                <w:bCs/>
                <w:szCs w:val="24"/>
                <w:lang w:eastAsia="hr-HR"/>
              </w:rPr>
              <w:t>Metoda izračuna za oznaku HP 3 (peta alineja)</w:t>
            </w:r>
          </w:p>
          <w:tbl>
            <w:tblPr>
              <w:tblW w:w="5000" w:type="pct"/>
              <w:tblCellSpacing w:w="0" w:type="dxa"/>
              <w:tblCellMar>
                <w:left w:w="0" w:type="dxa"/>
                <w:right w:w="0" w:type="dxa"/>
              </w:tblCellMar>
              <w:tblLook w:val="04A0" w:firstRow="1" w:lastRow="0" w:firstColumn="1" w:lastColumn="0" w:noHBand="0" w:noVBand="1"/>
            </w:tblPr>
            <w:tblGrid>
              <w:gridCol w:w="6"/>
              <w:gridCol w:w="180"/>
              <w:gridCol w:w="8540"/>
            </w:tblGrid>
            <w:tr w:rsidR="005203CE" w:rsidRPr="005203CE">
              <w:trPr>
                <w:tblCellSpacing w:w="0" w:type="dxa"/>
              </w:trPr>
              <w:tc>
                <w:tcPr>
                  <w:tcW w:w="0" w:type="auto"/>
                  <w:hideMark/>
                </w:tcPr>
                <w:p w:rsidR="005203CE" w:rsidRPr="005203CE" w:rsidRDefault="005203CE" w:rsidP="005203CE">
                  <w:pPr>
                    <w:spacing w:after="0" w:line="240" w:lineRule="auto"/>
                    <w:rPr>
                      <w:rFonts w:ascii="inherit" w:eastAsia="Times New Roman" w:hAnsi="inherit" w:cs="Times New Roman"/>
                      <w:b/>
                      <w:bCs/>
                      <w:szCs w:val="24"/>
                      <w:lang w:eastAsia="hr-HR"/>
                    </w:rPr>
                  </w:pP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1.</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Napišite uravnoteženu jednadžbu za reakciju kojom se oslobađa plin. Opći oblik jednadžbe trebao bi biti sljedeći:</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204"/>
                    <w:gridCol w:w="747"/>
                    <w:gridCol w:w="1913"/>
                    <w:gridCol w:w="1205"/>
                    <w:gridCol w:w="1267"/>
                    <w:gridCol w:w="747"/>
                    <w:gridCol w:w="1441"/>
                  </w:tblGrid>
                  <w:tr w:rsidR="005203CE" w:rsidRP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rR</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wW</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pP</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gG</w:t>
                        </w:r>
                      </w:p>
                    </w:tc>
                  </w:tr>
                </w:tbl>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pri čemu je R tvar s oznakom H260/H261, W je voda, P je produkt reakcije, a G je oslobođeni plin; r, w, p i g su stehiometrijski omjeri koji jednadžbi daju ravnotežu.</w:t>
                  </w:r>
                </w:p>
              </w:tc>
            </w:tr>
          </w:tbl>
          <w:p w:rsidR="005203CE" w:rsidRPr="005203CE" w:rsidRDefault="005203CE" w:rsidP="005203CE">
            <w:pPr>
              <w:spacing w:after="0" w:line="240" w:lineRule="auto"/>
              <w:rPr>
                <w:rFonts w:ascii="inherit" w:eastAsia="Times New Roman" w:hAnsi="inherit"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7"/>
              <w:gridCol w:w="213"/>
              <w:gridCol w:w="8506"/>
            </w:tblGrid>
            <w:tr w:rsidR="005203CE" w:rsidRPr="005203CE">
              <w:trPr>
                <w:tblCellSpacing w:w="0" w:type="dxa"/>
              </w:trPr>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2.</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Tvarima u jednadžbi dodijelite molekularne mase i stehiometrijske omjere.</w:t>
                  </w:r>
                </w:p>
              </w:tc>
            </w:tr>
          </w:tbl>
          <w:p w:rsidR="005203CE" w:rsidRPr="005203CE" w:rsidRDefault="005203CE" w:rsidP="005203CE">
            <w:pPr>
              <w:spacing w:after="0" w:line="240" w:lineRule="auto"/>
              <w:rPr>
                <w:rFonts w:ascii="inherit" w:eastAsia="Times New Roman" w:hAnsi="inherit"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6"/>
              <w:gridCol w:w="180"/>
              <w:gridCol w:w="8540"/>
            </w:tblGrid>
            <w:tr w:rsidR="005203CE" w:rsidRPr="005203CE">
              <w:trPr>
                <w:tblCellSpacing w:w="0" w:type="dxa"/>
              </w:trPr>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3.</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Podijelite (r × molarna masa za R) sa (g × 22,4). Time se dobiva masa za R potrebna za ispuštanje 1 litre plina. 1 mol plina sadržava 22,4 litre pri standardnoj temperaturi i tlaku.</w:t>
                  </w:r>
                </w:p>
              </w:tc>
            </w:tr>
          </w:tbl>
          <w:p w:rsidR="005203CE" w:rsidRPr="005203CE" w:rsidRDefault="005203CE" w:rsidP="005203CE">
            <w:pPr>
              <w:spacing w:after="0" w:line="240" w:lineRule="auto"/>
              <w:rPr>
                <w:rFonts w:ascii="inherit" w:eastAsia="Times New Roman" w:hAnsi="inherit"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6"/>
              <w:gridCol w:w="180"/>
              <w:gridCol w:w="8540"/>
            </w:tblGrid>
            <w:tr w:rsidR="005203CE" w:rsidRPr="005203CE">
              <w:trPr>
                <w:tblCellSpacing w:w="0" w:type="dxa"/>
              </w:trPr>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4.</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Taj iznos (u gramima) podijelite s 1 000 (za pretvaranje u kilograme) i pomnožite sa 100 kako biste dobili maseni udio te time granične vrijednosti koncentracije za HP 3 (peta alineja) tvari R.</w:t>
                  </w:r>
                </w:p>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Primjer izračuna: Otpad sadržava aluminijev karbid. Aluminijev karbid je tvar s oznakom H260 koja reagira u dodiru s vodom te nastaje plin metan.</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831"/>
                    <w:gridCol w:w="276"/>
                    <w:gridCol w:w="1004"/>
                    <w:gridCol w:w="446"/>
                    <w:gridCol w:w="2679"/>
                    <w:gridCol w:w="276"/>
                    <w:gridCol w:w="1012"/>
                  </w:tblGrid>
                  <w:tr w:rsidR="005203CE" w:rsidRP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Al</w:t>
                        </w:r>
                        <w:r w:rsidRPr="005203CE">
                          <w:rPr>
                            <w:rFonts w:ascii="inherit" w:eastAsia="Times New Roman" w:hAnsi="inherit" w:cs="Times New Roman"/>
                            <w:sz w:val="15"/>
                            <w:szCs w:val="15"/>
                            <w:vertAlign w:val="subscript"/>
                            <w:lang w:eastAsia="hr-HR"/>
                          </w:rPr>
                          <w:t>4</w:t>
                        </w:r>
                        <w:r w:rsidRPr="005203CE">
                          <w:rPr>
                            <w:rFonts w:ascii="inherit" w:eastAsia="Times New Roman" w:hAnsi="inherit" w:cs="Times New Roman"/>
                            <w:sz w:val="22"/>
                            <w:szCs w:val="22"/>
                            <w:lang w:eastAsia="hr-HR"/>
                          </w:rPr>
                          <w:t>C</w:t>
                        </w:r>
                        <w:r w:rsidRPr="005203CE">
                          <w:rPr>
                            <w:rFonts w:ascii="inherit" w:eastAsia="Times New Roman" w:hAnsi="inherit" w:cs="Times New Roman"/>
                            <w:sz w:val="15"/>
                            <w:szCs w:val="15"/>
                            <w:vertAlign w:val="subscript"/>
                            <w:lang w:eastAsia="hr-HR"/>
                          </w:rPr>
                          <w:t>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6 H</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O</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 Al</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O</w:t>
                        </w:r>
                        <w:r w:rsidRPr="005203CE">
                          <w:rPr>
                            <w:rFonts w:ascii="inherit" w:eastAsia="Times New Roman" w:hAnsi="inherit" w:cs="Times New Roman"/>
                            <w:sz w:val="15"/>
                            <w:szCs w:val="15"/>
                            <w:vertAlign w:val="subscript"/>
                            <w:lang w:eastAsia="hr-HR"/>
                          </w:rPr>
                          <w:t>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3 CH</w:t>
                        </w:r>
                        <w:r w:rsidRPr="005203CE">
                          <w:rPr>
                            <w:rFonts w:ascii="inherit" w:eastAsia="Times New Roman" w:hAnsi="inherit" w:cs="Times New Roman"/>
                            <w:sz w:val="15"/>
                            <w:szCs w:val="15"/>
                            <w:vertAlign w:val="subscript"/>
                            <w:lang w:eastAsia="hr-HR"/>
                          </w:rPr>
                          <w:t>4</w:t>
                        </w:r>
                      </w:p>
                    </w:tc>
                  </w:tr>
                  <w:tr w:rsidR="005203CE" w:rsidRP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aluminijev karbid</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voda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aluminijev oksid</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metan</w:t>
                        </w:r>
                      </w:p>
                    </w:tc>
                  </w:tr>
                  <w:tr w:rsidR="005203CE" w:rsidRP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144 g</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18 g</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102 g</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16 g</w:t>
                        </w:r>
                      </w:p>
                    </w:tc>
                  </w:tr>
                  <w:tr w:rsidR="005203CE" w:rsidRP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 mol</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6 mol</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 mol</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3 mol</w:t>
                        </w:r>
                      </w:p>
                    </w:tc>
                  </w:tr>
                </w:tbl>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r = 1 mol Al</w:t>
                  </w:r>
                  <w:r w:rsidRPr="005203CE">
                    <w:rPr>
                      <w:rFonts w:ascii="inherit" w:eastAsia="Times New Roman" w:hAnsi="inherit" w:cs="Times New Roman"/>
                      <w:sz w:val="17"/>
                      <w:szCs w:val="17"/>
                      <w:vertAlign w:val="subscript"/>
                      <w:lang w:eastAsia="hr-HR"/>
                    </w:rPr>
                    <w:t>4</w:t>
                  </w:r>
                  <w:r w:rsidRPr="005203CE">
                    <w:rPr>
                      <w:rFonts w:ascii="inherit" w:eastAsia="Times New Roman" w:hAnsi="inherit" w:cs="Times New Roman"/>
                      <w:szCs w:val="24"/>
                      <w:lang w:eastAsia="hr-HR"/>
                    </w:rPr>
                    <w:t>C</w:t>
                  </w:r>
                  <w:r w:rsidRPr="005203CE">
                    <w:rPr>
                      <w:rFonts w:ascii="inherit" w:eastAsia="Times New Roman" w:hAnsi="inherit" w:cs="Times New Roman"/>
                      <w:sz w:val="17"/>
                      <w:szCs w:val="17"/>
                      <w:vertAlign w:val="subscript"/>
                      <w:lang w:eastAsia="hr-HR"/>
                    </w:rPr>
                    <w:t>3</w:t>
                  </w:r>
                  <w:r w:rsidRPr="005203CE">
                    <w:rPr>
                      <w:rFonts w:ascii="inherit" w:eastAsia="Times New Roman" w:hAnsi="inherit" w:cs="Times New Roman"/>
                      <w:szCs w:val="24"/>
                      <w:lang w:eastAsia="hr-HR"/>
                    </w:rPr>
                    <w:t>, R = 144 g; g = 3 mol CH</w:t>
                  </w:r>
                  <w:r w:rsidRPr="005203CE">
                    <w:rPr>
                      <w:rFonts w:ascii="inherit" w:eastAsia="Times New Roman" w:hAnsi="inherit" w:cs="Times New Roman"/>
                      <w:sz w:val="17"/>
                      <w:szCs w:val="17"/>
                      <w:vertAlign w:val="subscript"/>
                      <w:lang w:eastAsia="hr-HR"/>
                    </w:rPr>
                    <w:t>4</w:t>
                  </w:r>
                  <w:r w:rsidRPr="005203CE">
                    <w:rPr>
                      <w:rFonts w:ascii="inherit" w:eastAsia="Times New Roman" w:hAnsi="inherit" w:cs="Times New Roman"/>
                      <w:szCs w:val="24"/>
                      <w:lang w:eastAsia="hr-HR"/>
                    </w:rPr>
                    <w:t>.</w:t>
                  </w:r>
                </w:p>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Granična vrijednost koncentracije aluminijeva karbida u otpadu = [144 / (3 × 22,4)] / 1 000 × 100, što iznosi 0,21 % (otprilike 0,2 %).</w:t>
                  </w:r>
                </w:p>
              </w:tc>
            </w:tr>
          </w:tbl>
          <w:p w:rsidR="005203CE" w:rsidRPr="005203CE" w:rsidRDefault="005203CE" w:rsidP="005203CE">
            <w:pPr>
              <w:spacing w:after="0" w:line="240" w:lineRule="auto"/>
              <w:rPr>
                <w:rFonts w:ascii="inherit" w:eastAsia="Times New Roman" w:hAnsi="inherit" w:cs="Times New Roman"/>
                <w:szCs w:val="24"/>
                <w:lang w:eastAsia="hr-HR"/>
              </w:rPr>
            </w:pP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383"/>
        <w:gridCol w:w="7689"/>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i/>
                <w:iCs/>
                <w:szCs w:val="24"/>
                <w:lang w:eastAsia="hr-HR"/>
              </w:rPr>
              <w:lastRenderedPageBreak/>
              <w:t>Okvir 3.:</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b/>
                <w:bCs/>
                <w:szCs w:val="24"/>
                <w:lang w:eastAsia="hr-HR"/>
              </w:rPr>
              <w:t>Metoda izračuna za oznaku HP 3 (peta alineja)</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Granične vrijednosti dobivene izračunom za određene tvari s oznakom H260 i H261 prikazane su u tablici 11.</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i/>
          <w:iCs/>
          <w:color w:val="000000"/>
          <w:szCs w:val="24"/>
          <w:lang w:eastAsia="hr-HR"/>
        </w:rPr>
        <w:t>Tablica 11.</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Primjeri tvari zbog kojih otpad može pokazivati svojstvo HP 3 „Zapaljivo” (peta alineja) i njihove granične vrijednosti koncentracija </w:t>
      </w:r>
      <w:hyperlink r:id="rId171" w:anchor="ntr6-C_2018124HR.01008701-E0006" w:history="1">
        <w:r w:rsidRPr="005203CE">
          <w:rPr>
            <w:rFonts w:ascii="inherit" w:eastAsia="Times New Roman" w:hAnsi="inherit" w:cs="Times New Roman"/>
            <w:b/>
            <w:bCs/>
            <w:color w:val="0000FF"/>
            <w:szCs w:val="24"/>
            <w:u w:val="single"/>
            <w:lang w:eastAsia="hr-HR"/>
          </w:rPr>
          <w:t> (</w:t>
        </w:r>
        <w:r w:rsidRPr="005203CE">
          <w:rPr>
            <w:rFonts w:ascii="inherit" w:eastAsia="Times New Roman" w:hAnsi="inherit" w:cs="Times New Roman"/>
            <w:b/>
            <w:bCs/>
            <w:color w:val="0000FF"/>
            <w:sz w:val="17"/>
            <w:szCs w:val="17"/>
            <w:u w:val="single"/>
            <w:vertAlign w:val="superscript"/>
            <w:lang w:eastAsia="hr-HR"/>
          </w:rPr>
          <w:t>6</w:t>
        </w:r>
        <w:r w:rsidRPr="005203CE">
          <w:rPr>
            <w:rFonts w:ascii="inherit" w:eastAsia="Times New Roman" w:hAnsi="inherit" w:cs="Times New Roman"/>
            <w:b/>
            <w:bCs/>
            <w:color w:val="0000FF"/>
            <w:szCs w:val="24"/>
            <w:u w:val="single"/>
            <w:lang w:eastAsia="hr-HR"/>
          </w:rPr>
          <w:t>)</w:t>
        </w:r>
      </w:hyperlink>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583"/>
        <w:gridCol w:w="2132"/>
        <w:gridCol w:w="2609"/>
        <w:gridCol w:w="2732"/>
      </w:tblGrid>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Naziv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Šifre oznaka upozorenja povezane s oznakom HP 3 (peta alineja)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Jednadžba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Granična vrijednost koncentracije u otpadu potrebna za oznaku H3-A (peta alineja) (%)</w:t>
            </w:r>
            <w:hyperlink r:id="rId172" w:anchor="ntr7-C_2018124HR.01008701-E0007" w:history="1">
              <w:r w:rsidRPr="005203CE">
                <w:rPr>
                  <w:rFonts w:ascii="inherit" w:eastAsia="Times New Roman" w:hAnsi="inherit" w:cs="Times New Roman"/>
                  <w:b/>
                  <w:bCs/>
                  <w:color w:val="0000FF"/>
                  <w:sz w:val="22"/>
                  <w:szCs w:val="22"/>
                  <w:u w:val="single"/>
                  <w:lang w:eastAsia="hr-HR"/>
                </w:rPr>
                <w:t> (</w:t>
              </w:r>
              <w:r w:rsidRPr="005203CE">
                <w:rPr>
                  <w:rFonts w:ascii="inherit" w:eastAsia="Times New Roman" w:hAnsi="inherit" w:cs="Times New Roman"/>
                  <w:b/>
                  <w:bCs/>
                  <w:color w:val="0000FF"/>
                  <w:sz w:val="15"/>
                  <w:szCs w:val="15"/>
                  <w:u w:val="single"/>
                  <w:vertAlign w:val="superscript"/>
                  <w:lang w:eastAsia="hr-HR"/>
                </w:rPr>
                <w:t>7</w:t>
              </w:r>
              <w:r w:rsidRPr="005203CE">
                <w:rPr>
                  <w:rFonts w:ascii="inherit" w:eastAsia="Times New Roman" w:hAnsi="inherit" w:cs="Times New Roman"/>
                  <w:b/>
                  <w:bCs/>
                  <w:color w:val="0000FF"/>
                  <w:sz w:val="22"/>
                  <w:szCs w:val="22"/>
                  <w:u w:val="single"/>
                  <w:lang w:eastAsia="hr-HR"/>
                </w:rPr>
                <w:t>)</w:t>
              </w:r>
            </w:hyperlink>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Litij</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H260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2Li + 2H</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O → 2LiOH + H</w:t>
            </w:r>
            <w:r w:rsidRPr="005203CE">
              <w:rPr>
                <w:rFonts w:ascii="inherit" w:eastAsia="Times New Roman" w:hAnsi="inherit" w:cs="Times New Roman"/>
                <w:sz w:val="15"/>
                <w:szCs w:val="15"/>
                <w:vertAlign w:val="subscript"/>
                <w:lang w:eastAsia="hr-HR"/>
              </w:rPr>
              <w:t>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0,1</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Natrij</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H260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2Na + 2H</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O → 2NaOH + H</w:t>
            </w:r>
            <w:r w:rsidRPr="005203CE">
              <w:rPr>
                <w:rFonts w:ascii="inherit" w:eastAsia="Times New Roman" w:hAnsi="inherit" w:cs="Times New Roman"/>
                <w:sz w:val="15"/>
                <w:szCs w:val="15"/>
                <w:vertAlign w:val="subscript"/>
                <w:lang w:eastAsia="hr-HR"/>
              </w:rPr>
              <w:t>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0,2</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Magnezijev prah (piroforan)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H261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Mg + 2H</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O → Mg(OH)</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 + H</w:t>
            </w:r>
            <w:r w:rsidRPr="005203CE">
              <w:rPr>
                <w:rFonts w:ascii="inherit" w:eastAsia="Times New Roman" w:hAnsi="inherit" w:cs="Times New Roman"/>
                <w:sz w:val="15"/>
                <w:szCs w:val="15"/>
                <w:vertAlign w:val="subscript"/>
                <w:lang w:eastAsia="hr-HR"/>
              </w:rPr>
              <w:t>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0,1</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Aluminijev prah (piroforan)</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Aluminijev prah (stabiliziran)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H261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2Al + 6H</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O → 2Al(OH)</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 + 3H</w:t>
            </w:r>
            <w:r w:rsidRPr="005203CE">
              <w:rPr>
                <w:rFonts w:ascii="inherit" w:eastAsia="Times New Roman" w:hAnsi="inherit" w:cs="Times New Roman"/>
                <w:sz w:val="15"/>
                <w:szCs w:val="15"/>
                <w:vertAlign w:val="subscript"/>
                <w:lang w:eastAsia="hr-HR"/>
              </w:rPr>
              <w:t>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0,1</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Kalij</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H260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2K + 2H</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O → 2KOH + H</w:t>
            </w:r>
            <w:r w:rsidRPr="005203CE">
              <w:rPr>
                <w:rFonts w:ascii="inherit" w:eastAsia="Times New Roman" w:hAnsi="inherit" w:cs="Times New Roman"/>
                <w:sz w:val="15"/>
                <w:szCs w:val="15"/>
                <w:vertAlign w:val="subscript"/>
                <w:lang w:eastAsia="hr-HR"/>
              </w:rPr>
              <w:t>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0,4</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Kalcij</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H261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Ca + 2H</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O → Ca(OH)</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 + H</w:t>
            </w:r>
            <w:r w:rsidRPr="005203CE">
              <w:rPr>
                <w:rFonts w:ascii="inherit" w:eastAsia="Times New Roman" w:hAnsi="inherit" w:cs="Times New Roman"/>
                <w:sz w:val="15"/>
                <w:szCs w:val="15"/>
                <w:vertAlign w:val="subscript"/>
                <w:lang w:eastAsia="hr-HR"/>
              </w:rPr>
              <w:t>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0,2</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Cinkov prah / cinkova prašina (piroforno)</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H260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Zn + 2H2O → Zn(OH)</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 + H</w:t>
            </w:r>
            <w:r w:rsidRPr="005203CE">
              <w:rPr>
                <w:rFonts w:ascii="inherit" w:eastAsia="Times New Roman" w:hAnsi="inherit" w:cs="Times New Roman"/>
                <w:sz w:val="15"/>
                <w:szCs w:val="15"/>
                <w:vertAlign w:val="subscript"/>
                <w:lang w:eastAsia="hr-HR"/>
              </w:rPr>
              <w:t>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0,3</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Cirkonijev prah (piroforan)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H260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Zr + 4H</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O → Zr(OH)</w:t>
            </w:r>
            <w:r w:rsidRPr="005203CE">
              <w:rPr>
                <w:rFonts w:ascii="inherit" w:eastAsia="Times New Roman" w:hAnsi="inherit" w:cs="Times New Roman"/>
                <w:sz w:val="15"/>
                <w:szCs w:val="15"/>
                <w:vertAlign w:val="subscript"/>
                <w:lang w:eastAsia="hr-HR"/>
              </w:rPr>
              <w:t>4</w:t>
            </w:r>
            <w:r w:rsidRPr="005203CE">
              <w:rPr>
                <w:rFonts w:ascii="inherit" w:eastAsia="Times New Roman" w:hAnsi="inherit" w:cs="Times New Roman"/>
                <w:sz w:val="22"/>
                <w:szCs w:val="22"/>
                <w:lang w:eastAsia="hr-HR"/>
              </w:rPr>
              <w:t> + 2H</w:t>
            </w:r>
            <w:r w:rsidRPr="005203CE">
              <w:rPr>
                <w:rFonts w:ascii="inherit" w:eastAsia="Times New Roman" w:hAnsi="inherit" w:cs="Times New Roman"/>
                <w:sz w:val="15"/>
                <w:szCs w:val="15"/>
                <w:vertAlign w:val="subscript"/>
                <w:lang w:eastAsia="hr-HR"/>
              </w:rPr>
              <w:t>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0,2</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Aluminijev karbid</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H260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Al</w:t>
            </w:r>
            <w:r w:rsidRPr="005203CE">
              <w:rPr>
                <w:rFonts w:ascii="inherit" w:eastAsia="Times New Roman" w:hAnsi="inherit" w:cs="Times New Roman"/>
                <w:sz w:val="15"/>
                <w:szCs w:val="15"/>
                <w:vertAlign w:val="subscript"/>
                <w:lang w:eastAsia="hr-HR"/>
              </w:rPr>
              <w:t>4</w:t>
            </w:r>
            <w:r w:rsidRPr="005203CE">
              <w:rPr>
                <w:rFonts w:ascii="inherit" w:eastAsia="Times New Roman" w:hAnsi="inherit" w:cs="Times New Roman"/>
                <w:sz w:val="22"/>
                <w:szCs w:val="22"/>
                <w:lang w:eastAsia="hr-HR"/>
              </w:rPr>
              <w:t>C</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 + 6H</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O → 2Al</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O</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 + 3CH</w:t>
            </w:r>
            <w:r w:rsidRPr="005203CE">
              <w:rPr>
                <w:rFonts w:ascii="inherit" w:eastAsia="Times New Roman" w:hAnsi="inherit" w:cs="Times New Roman"/>
                <w:sz w:val="15"/>
                <w:szCs w:val="15"/>
                <w:vertAlign w:val="subscript"/>
                <w:lang w:eastAsia="hr-HR"/>
              </w:rPr>
              <w:t>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0,2</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Litijev aluminijev hidrid</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H260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LiAlH</w:t>
            </w:r>
            <w:r w:rsidRPr="005203CE">
              <w:rPr>
                <w:rFonts w:ascii="inherit" w:eastAsia="Times New Roman" w:hAnsi="inherit" w:cs="Times New Roman"/>
                <w:sz w:val="15"/>
                <w:szCs w:val="15"/>
                <w:vertAlign w:val="subscript"/>
                <w:lang w:eastAsia="hr-HR"/>
              </w:rPr>
              <w:t>4</w:t>
            </w:r>
            <w:r w:rsidRPr="005203CE">
              <w:rPr>
                <w:rFonts w:ascii="inherit" w:eastAsia="Times New Roman" w:hAnsi="inherit" w:cs="Times New Roman"/>
                <w:sz w:val="22"/>
                <w:szCs w:val="22"/>
                <w:lang w:eastAsia="hr-HR"/>
              </w:rPr>
              <w:t>+ H</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O → LiAl(OH)</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 + 4H</w:t>
            </w:r>
            <w:r w:rsidRPr="005203CE">
              <w:rPr>
                <w:rFonts w:ascii="inherit" w:eastAsia="Times New Roman" w:hAnsi="inherit" w:cs="Times New Roman"/>
                <w:sz w:val="15"/>
                <w:szCs w:val="15"/>
                <w:vertAlign w:val="subscript"/>
                <w:lang w:eastAsia="hr-HR"/>
              </w:rPr>
              <w:t>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0,1</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Natrijev hidrid</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H260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NaH + H</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O → NaOH + H</w:t>
            </w:r>
            <w:r w:rsidRPr="005203CE">
              <w:rPr>
                <w:rFonts w:ascii="inherit" w:eastAsia="Times New Roman" w:hAnsi="inherit" w:cs="Times New Roman"/>
                <w:sz w:val="15"/>
                <w:szCs w:val="15"/>
                <w:vertAlign w:val="subscript"/>
                <w:lang w:eastAsia="hr-HR"/>
              </w:rPr>
              <w:t>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0,1</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Kalcijev hidrid</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H260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CaH</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 + 2H</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O → Ca(OH)</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 + 2H</w:t>
            </w:r>
            <w:r w:rsidRPr="005203CE">
              <w:rPr>
                <w:rFonts w:ascii="inherit" w:eastAsia="Times New Roman" w:hAnsi="inherit" w:cs="Times New Roman"/>
                <w:sz w:val="15"/>
                <w:szCs w:val="15"/>
                <w:vertAlign w:val="subscript"/>
                <w:lang w:eastAsia="hr-HR"/>
              </w:rPr>
              <w:t>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0,1</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Kalcijev karbid</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H260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CaC</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 + H</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O → Ca(OH)</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 + C</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H</w:t>
            </w:r>
            <w:r w:rsidRPr="005203CE">
              <w:rPr>
                <w:rFonts w:ascii="inherit" w:eastAsia="Times New Roman" w:hAnsi="inherit" w:cs="Times New Roman"/>
                <w:sz w:val="15"/>
                <w:szCs w:val="15"/>
                <w:vertAlign w:val="subscript"/>
                <w:lang w:eastAsia="hr-HR"/>
              </w:rPr>
              <w:t>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0,3</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Kalcijev fosfid</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H260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Ca</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P</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 + 6H</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O → 2PH</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 + 3Ca(OH)</w:t>
            </w:r>
            <w:r w:rsidRPr="005203CE">
              <w:rPr>
                <w:rFonts w:ascii="inherit" w:eastAsia="Times New Roman" w:hAnsi="inherit" w:cs="Times New Roman"/>
                <w:sz w:val="15"/>
                <w:szCs w:val="15"/>
                <w:vertAlign w:val="subscript"/>
                <w:lang w:eastAsia="hr-HR"/>
              </w:rPr>
              <w:t>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0,4</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Aluminijev fosfid</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H260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AlP + 3H</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O → PH</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 + Al(OH)</w:t>
            </w:r>
            <w:r w:rsidRPr="005203CE">
              <w:rPr>
                <w:rFonts w:ascii="inherit" w:eastAsia="Times New Roman" w:hAnsi="inherit" w:cs="Times New Roman"/>
                <w:sz w:val="15"/>
                <w:szCs w:val="15"/>
                <w:vertAlign w:val="subscript"/>
                <w:lang w:eastAsia="hr-HR"/>
              </w:rPr>
              <w:t>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0,3</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Magnezijev fosfid</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H260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Mg</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P</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 + 6H</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O → 2PH</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 + 3Mg(OH)</w:t>
            </w:r>
            <w:r w:rsidRPr="005203CE">
              <w:rPr>
                <w:rFonts w:ascii="inherit" w:eastAsia="Times New Roman" w:hAnsi="inherit" w:cs="Times New Roman"/>
                <w:sz w:val="15"/>
                <w:szCs w:val="15"/>
                <w:vertAlign w:val="subscript"/>
                <w:lang w:eastAsia="hr-HR"/>
              </w:rPr>
              <w:t>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0,3</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lastRenderedPageBreak/>
              <w:t>Tricinkov difosfid</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H260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Zn</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P</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 + 6H</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O → 2PH</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 + 3Zn(OH)</w:t>
            </w:r>
            <w:r w:rsidRPr="005203CE">
              <w:rPr>
                <w:rFonts w:ascii="inherit" w:eastAsia="Times New Roman" w:hAnsi="inherit" w:cs="Times New Roman"/>
                <w:sz w:val="15"/>
                <w:szCs w:val="15"/>
                <w:vertAlign w:val="subscript"/>
                <w:lang w:eastAsia="hr-HR"/>
              </w:rPr>
              <w:t>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Dietil (etildimetil-silanolato) aluminij</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H260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(C</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H</w:t>
            </w:r>
            <w:r w:rsidRPr="005203CE">
              <w:rPr>
                <w:rFonts w:ascii="inherit" w:eastAsia="Times New Roman" w:hAnsi="inherit" w:cs="Times New Roman"/>
                <w:sz w:val="15"/>
                <w:szCs w:val="15"/>
                <w:vertAlign w:val="subscript"/>
                <w:lang w:eastAsia="hr-HR"/>
              </w:rPr>
              <w:t>5</w:t>
            </w:r>
            <w:r w:rsidRPr="005203CE">
              <w:rPr>
                <w:rFonts w:ascii="inherit" w:eastAsia="Times New Roman" w:hAnsi="inherit" w:cs="Times New Roman"/>
                <w:sz w:val="22"/>
                <w:szCs w:val="22"/>
                <w:lang w:eastAsia="hr-HR"/>
              </w:rPr>
              <w:t>)</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Si(CH</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C</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H</w:t>
            </w:r>
            <w:r w:rsidRPr="005203CE">
              <w:rPr>
                <w:rFonts w:ascii="inherit" w:eastAsia="Times New Roman" w:hAnsi="inherit" w:cs="Times New Roman"/>
                <w:sz w:val="15"/>
                <w:szCs w:val="15"/>
                <w:vertAlign w:val="subscript"/>
                <w:lang w:eastAsia="hr-HR"/>
              </w:rPr>
              <w:t>5</w:t>
            </w:r>
            <w:r w:rsidRPr="005203CE">
              <w:rPr>
                <w:rFonts w:ascii="inherit" w:eastAsia="Times New Roman" w:hAnsi="inherit" w:cs="Times New Roman"/>
                <w:sz w:val="22"/>
                <w:szCs w:val="22"/>
                <w:lang w:eastAsia="hr-HR"/>
              </w:rPr>
              <w:t>Al + 2H</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O → 2C</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H</w:t>
            </w:r>
            <w:r w:rsidRPr="005203CE">
              <w:rPr>
                <w:rFonts w:ascii="inherit" w:eastAsia="Times New Roman" w:hAnsi="inherit" w:cs="Times New Roman"/>
                <w:sz w:val="15"/>
                <w:szCs w:val="15"/>
                <w:vertAlign w:val="subscript"/>
                <w:lang w:eastAsia="hr-HR"/>
              </w:rPr>
              <w:t>6</w:t>
            </w:r>
            <w:r w:rsidRPr="005203CE">
              <w:rPr>
                <w:rFonts w:ascii="inherit" w:eastAsia="Times New Roman" w:hAnsi="inherit" w:cs="Times New Roman"/>
                <w:sz w:val="22"/>
                <w:szCs w:val="22"/>
                <w:lang w:eastAsia="hr-HR"/>
              </w:rPr>
              <w:t> + Al(OH)</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Si(CH</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C</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H</w:t>
            </w:r>
            <w:r w:rsidRPr="005203CE">
              <w:rPr>
                <w:rFonts w:ascii="inherit" w:eastAsia="Times New Roman" w:hAnsi="inherit" w:cs="Times New Roman"/>
                <w:sz w:val="15"/>
                <w:szCs w:val="15"/>
                <w:vertAlign w:val="subscript"/>
                <w:lang w:eastAsia="hr-HR"/>
              </w:rPr>
              <w:t>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0,4</w:t>
            </w:r>
          </w:p>
        </w:tc>
      </w:tr>
      <w:tr w:rsidR="005203CE" w:rsidRPr="005203CE" w:rsidTr="005203CE">
        <w:trPr>
          <w:tblCellSpacing w:w="0" w:type="dxa"/>
        </w:trPr>
        <w:tc>
          <w:tcPr>
            <w:tcW w:w="0" w:type="auto"/>
            <w:gridSpan w:val="4"/>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r>
    </w:tbl>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Ispitne metode</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dijelu A Priloga Uredbi o ispitnim metodama navode se sljedeće ispitne metode koje se mogu razmotriti u ocjenjivanju za oznaku HP 3 „Zapaljivo”:</w:t>
      </w:r>
    </w:p>
    <w:tbl>
      <w:tblPr>
        <w:tblW w:w="5000" w:type="pct"/>
        <w:tblCellSpacing w:w="0" w:type="dxa"/>
        <w:tblCellMar>
          <w:left w:w="0" w:type="dxa"/>
          <w:right w:w="0" w:type="dxa"/>
        </w:tblCellMar>
        <w:tblLook w:val="04A0" w:firstRow="1" w:lastRow="0" w:firstColumn="1" w:lastColumn="0" w:noHBand="0" w:noVBand="1"/>
      </w:tblPr>
      <w:tblGrid>
        <w:gridCol w:w="697"/>
        <w:gridCol w:w="8375"/>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A.10. Zapaljivost (krute tvari)</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774"/>
        <w:gridCol w:w="8298"/>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A.11. Zapaljivost (plinovi)</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570"/>
        <w:gridCol w:w="850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A.12. Zapaljivost (u dodiru s vodom)</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Otpad koji sadržava tvari navedene u tablici 10. potrebno je ispitati u pogledu zapaljivih svojstava u skladu sa Smjernicama ECHA-e za CLP. U Smjernicama ECHA-e za CLP predviđeni su zasebni odjeljci za ispitivanje smjesa koje sadržavaju:</w:t>
      </w:r>
    </w:p>
    <w:tbl>
      <w:tblPr>
        <w:tblW w:w="5000" w:type="pct"/>
        <w:tblCellSpacing w:w="0" w:type="dxa"/>
        <w:tblCellMar>
          <w:left w:w="0" w:type="dxa"/>
          <w:right w:w="0" w:type="dxa"/>
        </w:tblCellMar>
        <w:tblLook w:val="04A0" w:firstRow="1" w:lastRow="0" w:firstColumn="1" w:lastColumn="0" w:noHBand="0" w:noVBand="1"/>
      </w:tblPr>
      <w:tblGrid>
        <w:gridCol w:w="1118"/>
        <w:gridCol w:w="7954"/>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zapaljive plinove,</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979"/>
        <w:gridCol w:w="7093"/>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aerosole,</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067"/>
        <w:gridCol w:w="8005"/>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zapaljive tekućine,</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981"/>
        <w:gridCol w:w="8091"/>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zapaljive krute tvari,</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678"/>
        <w:gridCol w:w="8394"/>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samoreagirajuće tvari i smjese,</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054"/>
        <w:gridCol w:w="8018"/>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piroforne tekućine,</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969"/>
        <w:gridCol w:w="8103"/>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piroforne krute tvari,</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636"/>
        <w:gridCol w:w="8436"/>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samozagrijavajuće tvari i smjese,</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562"/>
        <w:gridCol w:w="8510"/>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tvari koje reagiraju u dodiru s vodom,</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761"/>
        <w:gridCol w:w="8311"/>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organske perokisde (2.15.).</w:t>
            </w:r>
          </w:p>
        </w:tc>
      </w:tr>
    </w:tbl>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3.4.    </w:t>
      </w:r>
      <w:r w:rsidRPr="005203CE">
        <w:rPr>
          <w:rFonts w:ascii="inherit" w:eastAsia="Times New Roman" w:hAnsi="inherit" w:cs="Times New Roman"/>
          <w:b/>
          <w:bCs/>
          <w:i/>
          <w:iCs/>
          <w:color w:val="000000"/>
          <w:szCs w:val="24"/>
          <w:lang w:eastAsia="hr-HR"/>
        </w:rPr>
        <w:t>Određivanje oznake HP 4: Nadražujuće – kožne iritacije i ozljede oka</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Definicija i daljnji opis iz Priloga III. ODO-u</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Prilogu III. ODO-u oznaka HP 4 „Nadražujuće” definira se kao:</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lastRenderedPageBreak/>
        <w:t>„otpad u dodiru s kojim mogu nastati kožne iritacije ili koji može izazvati ozljede oka”.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Oznaka HP 4 povezana je s oznakom HP 8 „Nagrizajuće” jer se obje te oznake HP odnose na potencijalno oštećenje ili štetno djelovanje različitih razina ozbiljnosti. Pojedinosti o oznaci HP 8 navedene su u odjeljku 3.8.</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Napomena:</w:t>
      </w: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Opasan otpad koji sadržava nadražujuće tvari može pokazivati nadražujuća svojstva (ovisno o koncentraciji).</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Opasan otpad koji sadržava nagrizajuće tvari može pokazivati nagrizajuća ili nadražujuća svojstva, ovisno o koncentraciji.</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Mehaničko nadraživanje koje uzrokuju neke tvari nije obuhvaćeno definicijom oznake HP 4.</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ODO-u se dalje objašnjava:</w:t>
      </w:r>
    </w:p>
    <w:tbl>
      <w:tblPr>
        <w:tblW w:w="5000" w:type="pct"/>
        <w:tblCellSpacing w:w="0" w:type="dxa"/>
        <w:tblCellMar>
          <w:left w:w="0" w:type="dxa"/>
          <w:right w:w="0" w:type="dxa"/>
        </w:tblCellMar>
        <w:tblLook w:val="04A0" w:firstRow="1" w:lastRow="0" w:firstColumn="1" w:lastColumn="0" w:noHBand="0" w:noVBand="1"/>
      </w:tblPr>
      <w:tblGrid>
        <w:gridCol w:w="60"/>
        <w:gridCol w:w="901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i/>
                <w:iCs/>
                <w:szCs w:val="24"/>
                <w:lang w:eastAsia="hr-HR"/>
              </w:rPr>
              <w:t>„Kad otpad sadržava jednu ili više tvari u koncentracijama iznad granične vrijednosti, a koje su razvrstane u jedan od sljedećih razreda opasnosti i prema šiframa kategorija i šiframa oznaka upozorenja, a koncentracijama su jednake graničnoj vrijednosti ili je premašuju, otpad se klasificira kao opasan oznakom HP 4.</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60"/>
        <w:gridCol w:w="901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i/>
                <w:iCs/>
                <w:szCs w:val="24"/>
                <w:lang w:eastAsia="hr-HR"/>
              </w:rPr>
              <w:t>Granična vrijednost koja se uzima u obzir pri ocjenjivanju u pogledu razreda opasnosti ‚Nagriz. kožu’ 1A (H314), ‚Nadraž. za kožu’ 2 (H315), ‚Ozlj. oka’ 1 (H318) i ‚Nadraž. oka’ 2 (H319) iznosi 1 %.</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60"/>
        <w:gridCol w:w="901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i/>
                <w:iCs/>
                <w:szCs w:val="24"/>
                <w:lang w:eastAsia="hr-HR"/>
              </w:rPr>
              <w:t>Ako je zbroj koncentracija svih tvari koje su razvrstane kao ‚Nagriz. kožu.’ 1A (H314) jednak ili premašuje 1 %, otpad se klasificira kao opasan oznakom HP 4.</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60"/>
        <w:gridCol w:w="901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i/>
                <w:iCs/>
                <w:szCs w:val="24"/>
                <w:lang w:eastAsia="hr-HR"/>
              </w:rPr>
              <w:t>Ako je zbroj koncentracija svih tvari koje su razvrstane kao H318 jednak ili premašuje 10 %, otpad se klasificira kao opasan oznakom HP 4.</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60"/>
        <w:gridCol w:w="901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i/>
                <w:iCs/>
                <w:szCs w:val="24"/>
                <w:lang w:eastAsia="hr-HR"/>
              </w:rPr>
              <w:t>Ako je zbroj koncentracija svih tvari koje su razvrstane kao H315 i H319 jednak ili premašuje 20 %, otpad se klasificira kao opasan oznakom HP 4.”</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60"/>
        <w:gridCol w:w="901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i/>
                <w:iCs/>
                <w:szCs w:val="24"/>
                <w:lang w:eastAsia="hr-HR"/>
              </w:rPr>
              <w:t>Treba imati na umu da se otpad koji sadržava tvari razvrstane kao H314 („Nagriz. kožu” kategorije 1A, 1B ili 1C) u količinama koje su jednake ili veće od 5 % klasificira kao opasan oznakom HP 8. HP 4 se ne primjenjuje ako je otpad već klasificiran kao HP 8.</w:t>
            </w:r>
          </w:p>
        </w:tc>
      </w:tr>
    </w:tbl>
    <w:p w:rsidR="005203CE" w:rsidRPr="005203CE" w:rsidRDefault="005203CE" w:rsidP="005203CE">
      <w:pPr>
        <w:spacing w:before="120" w:after="120" w:line="240" w:lineRule="auto"/>
        <w:jc w:val="center"/>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Tablica 12.</w:t>
      </w:r>
    </w:p>
    <w:p w:rsidR="005203CE" w:rsidRPr="005203CE" w:rsidRDefault="005203CE" w:rsidP="005203CE">
      <w:pPr>
        <w:spacing w:before="120" w:after="120" w:line="240" w:lineRule="auto"/>
        <w:jc w:val="center"/>
        <w:rPr>
          <w:rFonts w:ascii="inherit" w:eastAsia="Times New Roman" w:hAnsi="inherit" w:cs="Times New Roman"/>
          <w:color w:val="000000"/>
          <w:szCs w:val="24"/>
          <w:lang w:eastAsia="hr-HR"/>
        </w:rPr>
      </w:pPr>
      <w:r w:rsidRPr="005203CE">
        <w:rPr>
          <w:rFonts w:ascii="inherit" w:eastAsia="Times New Roman" w:hAnsi="inherit" w:cs="Times New Roman"/>
          <w:b/>
          <w:bCs/>
          <w:color w:val="000000"/>
          <w:szCs w:val="24"/>
          <w:lang w:eastAsia="hr-HR"/>
        </w:rPr>
        <w:t>Razred opasnosti, šifre kategorija i šifre oznaka upozorenja za sastojke otpada te odgovarajuće granične vrijednosti koncentracija radi njegova razvrstavanja kao opasnog prema oznaci HP 4</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119"/>
        <w:gridCol w:w="1795"/>
        <w:gridCol w:w="2246"/>
        <w:gridCol w:w="2896"/>
      </w:tblGrid>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Razred opasnosti i šifre kategorija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Šifre oznaka upozorenja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Opis</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Granična vrijednost koncentracije (ukupno tvari)</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Nagriz. kožu 1A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H314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Uzrokuje teške opekline kože i ozljede oka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 1 % i &lt; 5 %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lastRenderedPageBreak/>
              <w:t>Ozlj. oka 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H318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Uzrokuje teške ozljede oka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 10 %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Nadraž. kožu 2</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i</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Nadraž. oka 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H315</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i</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H319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Nadražuje kožu</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i</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Uzrokuje jako nadraživanje oka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 20 %</w:t>
            </w:r>
            <w:hyperlink r:id="rId173" w:anchor="ntr8-C_2018124HR.01008701-E0008" w:history="1">
              <w:r w:rsidRPr="005203CE">
                <w:rPr>
                  <w:rFonts w:ascii="inherit" w:eastAsia="Times New Roman" w:hAnsi="inherit" w:cs="Times New Roman"/>
                  <w:color w:val="0000FF"/>
                  <w:sz w:val="22"/>
                  <w:szCs w:val="22"/>
                  <w:u w:val="single"/>
                  <w:lang w:eastAsia="hr-HR"/>
                </w:rPr>
                <w:t> (</w:t>
              </w:r>
              <w:r w:rsidRPr="005203CE">
                <w:rPr>
                  <w:rFonts w:ascii="inherit" w:eastAsia="Times New Roman" w:hAnsi="inherit" w:cs="Times New Roman"/>
                  <w:color w:val="0000FF"/>
                  <w:sz w:val="15"/>
                  <w:szCs w:val="15"/>
                  <w:u w:val="single"/>
                  <w:vertAlign w:val="superscript"/>
                  <w:lang w:eastAsia="hr-HR"/>
                </w:rPr>
                <w:t>8</w:t>
              </w:r>
              <w:r w:rsidRPr="005203CE">
                <w:rPr>
                  <w:rFonts w:ascii="inherit" w:eastAsia="Times New Roman" w:hAnsi="inherit" w:cs="Times New Roman"/>
                  <w:color w:val="0000FF"/>
                  <w:sz w:val="22"/>
                  <w:szCs w:val="22"/>
                  <w:u w:val="single"/>
                  <w:lang w:eastAsia="hr-HR"/>
                </w:rPr>
                <w:t>)</w:t>
              </w:r>
            </w:hyperlink>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Primjer ocjenjivanja otpada koji sadržava CaO i Ca(OH)</w:t>
      </w:r>
      <w:r w:rsidRPr="005203CE">
        <w:rPr>
          <w:rFonts w:ascii="inherit" w:eastAsia="Times New Roman" w:hAnsi="inherit" w:cs="Times New Roman"/>
          <w:color w:val="000000"/>
          <w:sz w:val="17"/>
          <w:szCs w:val="17"/>
          <w:vertAlign w:val="subscript"/>
          <w:lang w:eastAsia="hr-HR"/>
        </w:rPr>
        <w:t>2</w:t>
      </w:r>
      <w:r w:rsidRPr="005203CE">
        <w:rPr>
          <w:rFonts w:ascii="inherit" w:eastAsia="Times New Roman" w:hAnsi="inherit" w:cs="Times New Roman"/>
          <w:color w:val="000000"/>
          <w:szCs w:val="24"/>
          <w:lang w:eastAsia="hr-HR"/>
        </w:rPr>
        <w:t> u pogledu oznake HP 4 nalazi se u Prilogu 1.4.4.</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Za otpad koji sadržava tvar s oznakom H314 Nagriz. kožu 1A, 1B ili 1C u koncentraciji ≥ 5 % vidjeti i oznaku HP 8 „Nagrizajuće” (Prilog 3.8.) jer je taj otpad potrebno razvrstati kao opasan oznakom HP 8, a ne oznakom HP 4.</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Prethodno navedene granične vrijednosti koncentracija primjenjuju se na poznate komponente otpada. Može biti teško utvrditi sve specifične tvari prisutne u određenom otpadu. Ako otpad nije označen kao „Nadražujuće” zbog poznatih prisutnih tvari, a neke su tvari još uvijek nepoznate, pH vrijednost otpada treba se upotrijebiti za ocjenjivanje (vidjeti sliku 10.).</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Otpad čija je pH vrijednost ≤ 2 ili ≥ 11,5 općenito treba smatrati opasnim prema oznaci HP 8 „Nagrizajuće”, osim ako:</w:t>
      </w: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ispitivanje kisele ili alkalne komponente pokaže da razvrstavanje tvari kao nagrizajuće nije opravdano te</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ako je dodatnim in vitro ispitivanjem ili postojećim iskustvom kod ljudi ili podacima dobivenima na životinjama nakon jednokratnog ili ponavljanog izlaganja potvrđeno da se ne primjenjuje razvrstavanje tvari kao „Nadražujuće” ni kao „Nagrizajuće”.</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Ispitivanjem kisele/alkalne komponente mjeri se puferski kapacitet otpada.</w:t>
      </w:r>
      <w:hyperlink r:id="rId174" w:anchor="ntr9-C_2018124HR.01008701-E0009"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9</w:t>
        </w:r>
        <w:r w:rsidRPr="005203CE">
          <w:rPr>
            <w:rFonts w:ascii="inherit" w:eastAsia="Times New Roman" w:hAnsi="inherit" w:cs="Times New Roman"/>
            <w:color w:val="0000FF"/>
            <w:szCs w:val="24"/>
            <w:u w:val="single"/>
            <w:lang w:eastAsia="hr-HR"/>
          </w:rPr>
          <w:t>)</w:t>
        </w:r>
      </w:hyperlink>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Granične vrijednosti</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Sljedeće se granične vrijednosti primjenjuju za ocjenjivanje:</w:t>
      </w:r>
    </w:p>
    <w:tbl>
      <w:tblPr>
        <w:tblW w:w="5000" w:type="pct"/>
        <w:tblCellSpacing w:w="0" w:type="dxa"/>
        <w:tblCellMar>
          <w:left w:w="0" w:type="dxa"/>
          <w:right w:w="0" w:type="dxa"/>
        </w:tblCellMar>
        <w:tblLook w:val="04A0" w:firstRow="1" w:lastRow="0" w:firstColumn="1" w:lastColumn="0" w:noHBand="0" w:noVBand="1"/>
      </w:tblPr>
      <w:tblGrid>
        <w:gridCol w:w="356"/>
        <w:gridCol w:w="8716"/>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za H314, H315, H318 i H319 granična vrijednost iznosi 1 %.</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Pojedinačna tvar prisutna u koncentraciji nižoj od navedene nije uključena u ukupne koncentracije navedene u tablici 12. i na slici 10.</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Na slici 10. prikazan je postupak određivanja za HP 4.</w:t>
      </w:r>
      <w:hyperlink r:id="rId175" w:anchor="ntr10-C_2018124HR.01008701-E0010"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10</w:t>
        </w:r>
        <w:r w:rsidRPr="005203CE">
          <w:rPr>
            <w:rFonts w:ascii="inherit" w:eastAsia="Times New Roman" w:hAnsi="inherit" w:cs="Times New Roman"/>
            <w:color w:val="0000FF"/>
            <w:szCs w:val="24"/>
            <w:u w:val="single"/>
            <w:lang w:eastAsia="hr-HR"/>
          </w:rPr>
          <w:t>)</w:t>
        </w:r>
      </w:hyperlink>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noProof/>
          <w:color w:val="000000"/>
          <w:szCs w:val="24"/>
          <w:lang w:eastAsia="hr-HR"/>
        </w:rPr>
        <w:lastRenderedPageBreak/>
        <w:drawing>
          <wp:inline distT="0" distB="0" distL="0" distR="0">
            <wp:extent cx="6238875" cy="8448675"/>
            <wp:effectExtent l="0" t="0" r="9525" b="9525"/>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238875" cy="8448675"/>
                    </a:xfrm>
                    <a:prstGeom prst="rect">
                      <a:avLst/>
                    </a:prstGeom>
                    <a:noFill/>
                    <a:ln>
                      <a:noFill/>
                    </a:ln>
                  </pic:spPr>
                </pic:pic>
              </a:graphicData>
            </a:graphic>
          </wp:inline>
        </w:drawing>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Ispitne metode</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lastRenderedPageBreak/>
        <w:t>Ocjenjivanje otpada prema oznaci HP 4 potrebno je provesti na temelju:</w:t>
      </w:r>
    </w:p>
    <w:tbl>
      <w:tblPr>
        <w:tblW w:w="5000" w:type="pct"/>
        <w:tblCellSpacing w:w="0" w:type="dxa"/>
        <w:tblCellMar>
          <w:left w:w="0" w:type="dxa"/>
          <w:right w:w="0" w:type="dxa"/>
        </w:tblCellMar>
        <w:tblLook w:val="04A0" w:firstRow="1" w:lastRow="0" w:firstColumn="1" w:lastColumn="0" w:noHBand="0" w:noVBand="1"/>
      </w:tblPr>
      <w:tblGrid>
        <w:gridCol w:w="533"/>
        <w:gridCol w:w="8539"/>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utvrđivanja pojedinačnih tvari u otpadu,</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860"/>
        <w:gridCol w:w="821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njihova razvrstavanja te</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307"/>
        <w:gridCol w:w="8765"/>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upućivanja na granične vrijednosti koncentracije iz Priloga III. ODO-u.</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Ako se za određivanje ovog svojstva opasnosti razmatra ispitivanje, otpad koji sadržava tvari navedene u tablici 12. potrebno je ispitati u pogledu nadražujućih svojstava u skladu sa Smjernicama ECHA-e za CLP. Smjesa kojoj je tom ocjenom dodijeljena oznaka H315, H318 ili H319 smatra se opasnom prema oznaci HP 4.</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Ako se razmatra ispitivanje, preporučuje se kombinacija ispitivanja kisele/alkalne komponente i in vitro ispitivanja. Primjer kako integrirati ispitivanje kisele/alkalne komponente i in vitro ispitivanje u opće ispitivanje naveden je u Smjernicama Ujedinjene Kraljevine.</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Kako je prethodno opisano, ispitivanjem kisele/alkalne komponente mjeri se puferski kapacitet otpada.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dijelu B Priloga Uredbi o ispitnim metodama navodi se sljedeća ispitna metoda koja se može razmotriti u ocjenjivanju za oznaku HP 4 „Nadražujuće”:</w:t>
      </w:r>
    </w:p>
    <w:tbl>
      <w:tblPr>
        <w:tblW w:w="5000" w:type="pct"/>
        <w:tblCellSpacing w:w="0" w:type="dxa"/>
        <w:tblCellMar>
          <w:left w:w="0" w:type="dxa"/>
          <w:right w:w="0" w:type="dxa"/>
        </w:tblCellMar>
        <w:tblLook w:val="04A0" w:firstRow="1" w:lastRow="0" w:firstColumn="1" w:lastColumn="0" w:noHBand="0" w:noVBand="1"/>
      </w:tblPr>
      <w:tblGrid>
        <w:gridCol w:w="276"/>
        <w:gridCol w:w="8796"/>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B.46 In vitro test nadraživanja kože na modelu rekonstruirane ljudske epiderme</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Nisu prikladne ispitne metode navedene u Uredbi o ispitnim metodama koje se temelje na ispitivanju na životinjama.</w:t>
      </w:r>
      <w:hyperlink r:id="rId177" w:anchor="ntr11-C_2018124HR.01008701-E0011"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11</w:t>
        </w:r>
        <w:r w:rsidRPr="005203CE">
          <w:rPr>
            <w:rFonts w:ascii="inherit" w:eastAsia="Times New Roman" w:hAnsi="inherit" w:cs="Times New Roman"/>
            <w:color w:val="0000FF"/>
            <w:szCs w:val="24"/>
            <w:u w:val="single"/>
            <w:lang w:eastAsia="hr-HR"/>
          </w:rPr>
          <w:t>)</w:t>
        </w:r>
      </w:hyperlink>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Dodatne in vitro metode mogu biti dostupne iz drugih izvora, kao što je referentni laboratorij Europske unije za alternative ispitivanju na životinjama.</w:t>
      </w:r>
      <w:hyperlink r:id="rId178" w:anchor="ntr12-C_2018124HR.01008701-E0012"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12</w:t>
        </w:r>
        <w:r w:rsidRPr="005203CE">
          <w:rPr>
            <w:rFonts w:ascii="inherit" w:eastAsia="Times New Roman" w:hAnsi="inherit" w:cs="Times New Roman"/>
            <w:color w:val="0000FF"/>
            <w:szCs w:val="24"/>
            <w:u w:val="single"/>
            <w:lang w:eastAsia="hr-HR"/>
          </w:rPr>
          <w:t>)</w:t>
        </w:r>
      </w:hyperlink>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Ako je opasno svojstvo otpada ocijenjeno ispitivanjem i korištenjem koncentracija opasnih tvari kao što je navedeno u Prilogu III. ODO-u, prednost imaju rezultati ispitivanja.</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3.5.    </w:t>
      </w:r>
      <w:r w:rsidRPr="005203CE">
        <w:rPr>
          <w:rFonts w:ascii="inherit" w:eastAsia="Times New Roman" w:hAnsi="inherit" w:cs="Times New Roman"/>
          <w:b/>
          <w:bCs/>
          <w:i/>
          <w:iCs/>
          <w:color w:val="000000"/>
          <w:szCs w:val="24"/>
          <w:lang w:eastAsia="hr-HR"/>
        </w:rPr>
        <w:t>Određivanje oznake HP 5: Specifična toksičnost za ciljni organ/aspiracijska toksičnost</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Definicija i daljnji opis iz Priloga III. ODO-u</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Prilogu III. ODO-u oznaka HP 5 „Specifična toksičnost za ciljni organ/aspiracijska toksičnost” definira se kao:</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„otpad koji može izazvati specifičnu toksičnost za ciljni organ uslijed jednokratnog ili ponovljenog izlaganja ili koji može izazvati učinke akutne toksičnosti nakon aspiracije”.</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ODO-u se dalje objašnjava: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w:t>
      </w:r>
      <w:r w:rsidRPr="005203CE">
        <w:rPr>
          <w:rFonts w:ascii="inherit" w:eastAsia="Times New Roman" w:hAnsi="inherit" w:cs="Times New Roman"/>
          <w:i/>
          <w:iCs/>
          <w:color w:val="000000"/>
          <w:szCs w:val="24"/>
          <w:lang w:eastAsia="hr-HR"/>
        </w:rPr>
        <w:t>Kad otpad sadržava jednu ili više tvari koje su razvrstane u jedan ili više od sljedećih razreda opasnosti i prema šiframa kategorija i šiframa oznaka upozorenja iz tablice 4.</w:t>
      </w:r>
      <w:r w:rsidRPr="005203CE">
        <w:rPr>
          <w:rFonts w:ascii="inherit" w:eastAsia="Times New Roman" w:hAnsi="inherit" w:cs="Times New Roman"/>
          <w:color w:val="000000"/>
          <w:szCs w:val="24"/>
          <w:lang w:eastAsia="hr-HR"/>
        </w:rPr>
        <w:t> [vidjeti tablicu 13. u ovom dokumentu]</w:t>
      </w:r>
      <w:r w:rsidRPr="005203CE">
        <w:rPr>
          <w:rFonts w:ascii="inherit" w:eastAsia="Times New Roman" w:hAnsi="inherit" w:cs="Times New Roman"/>
          <w:i/>
          <w:iCs/>
          <w:color w:val="000000"/>
          <w:szCs w:val="24"/>
          <w:lang w:eastAsia="hr-HR"/>
        </w:rPr>
        <w:t>, a dosegnuta je ili premašena jedna ili više graničnih vrijednosti koncentracija iz tablice 4.</w:t>
      </w:r>
      <w:r w:rsidRPr="005203CE">
        <w:rPr>
          <w:rFonts w:ascii="inherit" w:eastAsia="Times New Roman" w:hAnsi="inherit" w:cs="Times New Roman"/>
          <w:color w:val="000000"/>
          <w:szCs w:val="24"/>
          <w:lang w:eastAsia="hr-HR"/>
        </w:rPr>
        <w:t> [vidjeti tablicu 13. u ovom dokumentu]</w:t>
      </w:r>
      <w:r w:rsidRPr="005203CE">
        <w:rPr>
          <w:rFonts w:ascii="inherit" w:eastAsia="Times New Roman" w:hAnsi="inherit" w:cs="Times New Roman"/>
          <w:i/>
          <w:iCs/>
          <w:color w:val="000000"/>
          <w:szCs w:val="24"/>
          <w:lang w:eastAsia="hr-HR"/>
        </w:rPr>
        <w:t>, otpad se klasificira kao opasan oznakom HP 5. Kad su tvari koje su razvrstane u razred specifične toksičnosti za ciljane organe prisutne u otpadu, pojedinačna tvar mora biti prisutna u graničnoj vrijednosti koncentracije ili iznad nje da bi otpad bio klasificiran kao opasan oznakom HP 5.</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Kad otpad sadržava jednu ili više tvari koje su razvrstane kao Aspir. toks. 1, a zbroj tih tvari jednak je graničnoj vrijednosti koncentracija ili je premašuje, otpad se klasificira kao opasan oznakom HP 5 isključivo ako sveukupna kinematička viskoznost (pri 40 °C) ne premašuje 20,5 mm</w:t>
      </w:r>
      <w:r w:rsidRPr="005203CE">
        <w:rPr>
          <w:rFonts w:ascii="inherit" w:eastAsia="Times New Roman" w:hAnsi="inherit" w:cs="Times New Roman"/>
          <w:i/>
          <w:iCs/>
          <w:color w:val="000000"/>
          <w:sz w:val="17"/>
          <w:szCs w:val="17"/>
          <w:vertAlign w:val="superscript"/>
          <w:lang w:eastAsia="hr-HR"/>
        </w:rPr>
        <w:t>2</w:t>
      </w:r>
      <w:r w:rsidRPr="005203CE">
        <w:rPr>
          <w:rFonts w:ascii="inherit" w:eastAsia="Times New Roman" w:hAnsi="inherit" w:cs="Times New Roman"/>
          <w:i/>
          <w:iCs/>
          <w:color w:val="000000"/>
          <w:szCs w:val="24"/>
          <w:lang w:eastAsia="hr-HR"/>
        </w:rPr>
        <w:t>/s</w:t>
      </w:r>
      <w:r w:rsidRPr="005203CE">
        <w:rPr>
          <w:rFonts w:ascii="inherit" w:eastAsia="Times New Roman" w:hAnsi="inherit" w:cs="Times New Roman"/>
          <w:color w:val="000000"/>
          <w:szCs w:val="24"/>
          <w:lang w:eastAsia="hr-HR"/>
        </w:rPr>
        <w:t> </w:t>
      </w:r>
      <w:hyperlink r:id="rId179" w:anchor="ntr13-C_2018124HR.01008701-E0013"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13</w:t>
        </w:r>
        <w:r w:rsidRPr="005203CE">
          <w:rPr>
            <w:rFonts w:ascii="inherit" w:eastAsia="Times New Roman" w:hAnsi="inherit" w:cs="Times New Roman"/>
            <w:color w:val="0000FF"/>
            <w:szCs w:val="24"/>
            <w:u w:val="single"/>
            <w:lang w:eastAsia="hr-HR"/>
          </w:rPr>
          <w:t>)</w:t>
        </w:r>
      </w:hyperlink>
      <w:r w:rsidRPr="005203CE">
        <w:rPr>
          <w:rFonts w:ascii="inherit" w:eastAsia="Times New Roman" w:hAnsi="inherit" w:cs="Times New Roman"/>
          <w:color w:val="000000"/>
          <w:szCs w:val="24"/>
          <w:lang w:eastAsia="hr-HR"/>
        </w:rPr>
        <w:t>.</w:t>
      </w:r>
    </w:p>
    <w:p w:rsidR="005203CE" w:rsidRPr="005203CE" w:rsidRDefault="005203CE" w:rsidP="005203CE">
      <w:pPr>
        <w:spacing w:before="120" w:after="120" w:line="240" w:lineRule="auto"/>
        <w:jc w:val="center"/>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lastRenderedPageBreak/>
        <w:t>Tablica 13.</w:t>
      </w:r>
    </w:p>
    <w:p w:rsidR="005203CE" w:rsidRPr="005203CE" w:rsidRDefault="005203CE" w:rsidP="005203CE">
      <w:pPr>
        <w:spacing w:before="120" w:after="120" w:line="240" w:lineRule="auto"/>
        <w:jc w:val="center"/>
        <w:rPr>
          <w:rFonts w:ascii="inherit" w:eastAsia="Times New Roman" w:hAnsi="inherit" w:cs="Times New Roman"/>
          <w:color w:val="000000"/>
          <w:szCs w:val="24"/>
          <w:lang w:eastAsia="hr-HR"/>
        </w:rPr>
      </w:pPr>
      <w:r w:rsidRPr="005203CE">
        <w:rPr>
          <w:rFonts w:ascii="inherit" w:eastAsia="Times New Roman" w:hAnsi="inherit" w:cs="Times New Roman"/>
          <w:b/>
          <w:bCs/>
          <w:color w:val="000000"/>
          <w:szCs w:val="24"/>
          <w:lang w:eastAsia="hr-HR"/>
        </w:rPr>
        <w:t>Razred opasnosti, šifre kategorija i šifre oznaka upozorenja za sastojke otpada te odgovarajuće granične vrijednosti koncentracija radi njegova razvrstavanja kao opasnog prema oznaci HP 5</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984"/>
        <w:gridCol w:w="1722"/>
        <w:gridCol w:w="3156"/>
        <w:gridCol w:w="2194"/>
      </w:tblGrid>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Razred opasnosti i šifre kategorija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Šifre oznaka upozorenja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Opis</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Granična vrijednost koncentracije</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TCOJ 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H370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Uzrokuje oštećenje organa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 1 % (Pojed.)</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TCOJ 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H371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Može uzrokovati oštećenje organa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 10 % (Pojed.)</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TCOJ 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H335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Može nadražiti dišni sustav</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 20 % (Pojed.)</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TCOP 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H372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Uzrokuje oštećenje organa tijekom produljene ili ponavljane izloženosti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 1 % (Pojed.)</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TCOP 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H373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Može uzrokovati oštećenje organa tijekom produljene ili ponavljane izloženosti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 10 % (Pojed.)</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Aspir. toks. 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Može biti smrtonosno ako se proguta i uđe u dišni sustav</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 10 % (ukupno)</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Primjer ocjenjivanja otpada koji sadržava CaO i Ca(OH)</w:t>
      </w:r>
      <w:r w:rsidRPr="005203CE">
        <w:rPr>
          <w:rFonts w:ascii="inherit" w:eastAsia="Times New Roman" w:hAnsi="inherit" w:cs="Times New Roman"/>
          <w:color w:val="000000"/>
          <w:sz w:val="17"/>
          <w:szCs w:val="17"/>
          <w:vertAlign w:val="subscript"/>
          <w:lang w:eastAsia="hr-HR"/>
        </w:rPr>
        <w:t>2</w:t>
      </w:r>
      <w:r w:rsidRPr="005203CE">
        <w:rPr>
          <w:rFonts w:ascii="inherit" w:eastAsia="Times New Roman" w:hAnsi="inherit" w:cs="Times New Roman"/>
          <w:color w:val="000000"/>
          <w:szCs w:val="24"/>
          <w:lang w:eastAsia="hr-HR"/>
        </w:rPr>
        <w:t> u pogledu oznake HP 5 nalazi se u odjeljku 1.4.4. Priloga 1.</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Na slici 11. prikazan je postupak određivanja za HP 5.</w:t>
      </w:r>
      <w:hyperlink r:id="rId180" w:anchor="ntr14-C_2018124HR.01008701-E0014"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14</w:t>
        </w:r>
        <w:r w:rsidRPr="005203CE">
          <w:rPr>
            <w:rFonts w:ascii="inherit" w:eastAsia="Times New Roman" w:hAnsi="inherit" w:cs="Times New Roman"/>
            <w:color w:val="0000FF"/>
            <w:szCs w:val="24"/>
            <w:u w:val="single"/>
            <w:lang w:eastAsia="hr-HR"/>
          </w:rPr>
          <w:t>)</w:t>
        </w:r>
      </w:hyperlink>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noProof/>
          <w:color w:val="000000"/>
          <w:szCs w:val="24"/>
          <w:lang w:eastAsia="hr-HR"/>
        </w:rPr>
        <w:lastRenderedPageBreak/>
        <w:drawing>
          <wp:inline distT="0" distB="0" distL="0" distR="0">
            <wp:extent cx="5248275" cy="8467725"/>
            <wp:effectExtent l="0" t="0" r="9525" b="9525"/>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248275" cy="8467725"/>
                    </a:xfrm>
                    <a:prstGeom prst="rect">
                      <a:avLst/>
                    </a:prstGeom>
                    <a:noFill/>
                    <a:ln>
                      <a:noFill/>
                    </a:ln>
                  </pic:spPr>
                </pic:pic>
              </a:graphicData>
            </a:graphic>
          </wp:inline>
        </w:drawing>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Ispitne metode</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lastRenderedPageBreak/>
        <w:t>Ocjenjivanje otpada u pogledu oznake HP 5 provodi se na temelju:</w:t>
      </w:r>
    </w:p>
    <w:tbl>
      <w:tblPr>
        <w:tblW w:w="5000" w:type="pct"/>
        <w:tblCellSpacing w:w="0" w:type="dxa"/>
        <w:tblCellMar>
          <w:left w:w="0" w:type="dxa"/>
          <w:right w:w="0" w:type="dxa"/>
        </w:tblCellMar>
        <w:tblLook w:val="04A0" w:firstRow="1" w:lastRow="0" w:firstColumn="1" w:lastColumn="0" w:noHBand="0" w:noVBand="1"/>
      </w:tblPr>
      <w:tblGrid>
        <w:gridCol w:w="533"/>
        <w:gridCol w:w="8539"/>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utvrđivanja pojedinačnih tvari u otpadu,</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860"/>
        <w:gridCol w:w="821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njihova razvrstavanja te</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439"/>
        <w:gridCol w:w="8633"/>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upućivanja na granične vrijednosti koncentracija.</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Ako se za određivanje ovog svojstva opasnosti razmatra ispitivanje, otpad koji sadržava tvari navedene u tablici 13. potrebno je ocijeniti u pogledu svojstava specifične toksičnosti za ciljni organ i aspiracijske toksičnosti u skladu sa Smjernicama ECHA-e za CLP.</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Nisu prikladne ispitne metode navedene u Uredbi o ispitnim metodama koje se temelje na ispitivanju na životinjama.</w:t>
      </w:r>
      <w:hyperlink r:id="rId182" w:anchor="ntr15-C_2018124HR.01008701-E0015"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15</w:t>
        </w:r>
        <w:r w:rsidRPr="005203CE">
          <w:rPr>
            <w:rFonts w:ascii="inherit" w:eastAsia="Times New Roman" w:hAnsi="inherit" w:cs="Times New Roman"/>
            <w:color w:val="0000FF"/>
            <w:szCs w:val="24"/>
            <w:u w:val="single"/>
            <w:lang w:eastAsia="hr-HR"/>
          </w:rPr>
          <w:t>)</w:t>
        </w:r>
      </w:hyperlink>
      <w:r w:rsidRPr="005203CE">
        <w:rPr>
          <w:rFonts w:ascii="inherit" w:eastAsia="Times New Roman" w:hAnsi="inherit" w:cs="Times New Roman"/>
          <w:color w:val="000000"/>
          <w:szCs w:val="24"/>
          <w:lang w:eastAsia="hr-HR"/>
        </w:rPr>
        <w:t> Dodatne in vitro metode mogu biti dostupne iz drugih izvora, kao što je referentni laboratorij Europske unije za alternative ispitivanju na životinjama.</w:t>
      </w:r>
      <w:hyperlink r:id="rId183" w:anchor="ntr16-C_2018124HR.01008701-E0016"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16</w:t>
        </w:r>
        <w:r w:rsidRPr="005203CE">
          <w:rPr>
            <w:rFonts w:ascii="inherit" w:eastAsia="Times New Roman" w:hAnsi="inherit" w:cs="Times New Roman"/>
            <w:color w:val="0000FF"/>
            <w:szCs w:val="24"/>
            <w:u w:val="single"/>
            <w:lang w:eastAsia="hr-HR"/>
          </w:rPr>
          <w:t>)</w:t>
        </w:r>
      </w:hyperlink>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Ako je opasno svojstvo otpada ocijenjeno ispitivanjem i korištenjem koncentracija opasnih tvari kao što je navedeno u Prilogu III. ODO-u, prednost imaju rezultati ispitivanja.</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3.6.    </w:t>
      </w:r>
      <w:r w:rsidRPr="005203CE">
        <w:rPr>
          <w:rFonts w:ascii="inherit" w:eastAsia="Times New Roman" w:hAnsi="inherit" w:cs="Times New Roman"/>
          <w:b/>
          <w:bCs/>
          <w:i/>
          <w:iCs/>
          <w:color w:val="000000"/>
          <w:szCs w:val="24"/>
          <w:lang w:eastAsia="hr-HR"/>
        </w:rPr>
        <w:t>Određivanje oznake HP 6: Akutna toksičnost</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Definicija i daljnji opis iz Priloga III. ODO-u</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Prilogu III. ODO-u oznaka HP 6 „Akutna toksičnost” se definira kao:</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„otpad koji može izazvati učinke akutne toksičnosti nakon oralne ili dermalne primjene ili inhalacijskim putem.”</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ODO-u se dalje objašnjava: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„Ako je zbroj koncentracija svih tvari sadržanih u otpadu koje su razvrstane u razred opasnosti akutne toksičnosti i prema šiframa kategorijama i šiframa oznaka upozorenja iz tablice 5.</w:t>
      </w:r>
      <w:r w:rsidRPr="005203CE">
        <w:rPr>
          <w:rFonts w:ascii="inherit" w:eastAsia="Times New Roman" w:hAnsi="inherit" w:cs="Times New Roman"/>
          <w:color w:val="000000"/>
          <w:szCs w:val="24"/>
          <w:lang w:eastAsia="hr-HR"/>
        </w:rPr>
        <w:t> [vidjeti tablicu 14. u ovom dokumentu] </w:t>
      </w:r>
      <w:r w:rsidRPr="005203CE">
        <w:rPr>
          <w:rFonts w:ascii="inherit" w:eastAsia="Times New Roman" w:hAnsi="inherit" w:cs="Times New Roman"/>
          <w:i/>
          <w:iCs/>
          <w:color w:val="000000"/>
          <w:szCs w:val="24"/>
          <w:lang w:eastAsia="hr-HR"/>
        </w:rPr>
        <w:t>jednak graničnoj vrijednosti navedenoj u toj tablici ili premašuje, otpad se klasificira kao opasan oznakom HP 6. Ako je u otpadu prisutno više tvari koje su razvrstane kao akutno toksične, zbroj koncentracija potreban je isključivo za tvari koje pripadaju istoj kategoriji opasnosti.”</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Granične vrijednosti</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Sljedeće se granične vrijednosti primjenjuju za ocjenjivanje:</w:t>
      </w:r>
    </w:p>
    <w:tbl>
      <w:tblPr>
        <w:tblW w:w="5000" w:type="pct"/>
        <w:tblCellSpacing w:w="0" w:type="dxa"/>
        <w:tblCellMar>
          <w:left w:w="0" w:type="dxa"/>
          <w:right w:w="0" w:type="dxa"/>
        </w:tblCellMar>
        <w:tblLook w:val="04A0" w:firstRow="1" w:lastRow="0" w:firstColumn="1" w:lastColumn="0" w:noHBand="0" w:noVBand="1"/>
      </w:tblPr>
      <w:tblGrid>
        <w:gridCol w:w="425"/>
        <w:gridCol w:w="8647"/>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za H300, H310, H330, H301, H311 i H331: 0,1 %,</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746"/>
        <w:gridCol w:w="8326"/>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za H302, H312, H332: 1 %.</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Pojedinačna tvar prisutna u koncentraciji nižoj od granične vrijednosti za šifru oznake upozorenja koja joj je dodijeljena nije uključena u zbroj koncentracija za taj razred opasnosti i šifru kategorije.</w:t>
      </w:r>
    </w:p>
    <w:p w:rsidR="005203CE" w:rsidRPr="005203CE" w:rsidRDefault="005203CE" w:rsidP="005203CE">
      <w:pPr>
        <w:spacing w:before="120" w:after="120" w:line="240" w:lineRule="auto"/>
        <w:jc w:val="center"/>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Tablica 14.</w:t>
      </w:r>
    </w:p>
    <w:p w:rsidR="005203CE" w:rsidRPr="005203CE" w:rsidRDefault="005203CE" w:rsidP="005203CE">
      <w:pPr>
        <w:spacing w:before="120" w:after="120" w:line="240" w:lineRule="auto"/>
        <w:jc w:val="center"/>
        <w:rPr>
          <w:rFonts w:ascii="inherit" w:eastAsia="Times New Roman" w:hAnsi="inherit" w:cs="Times New Roman"/>
          <w:color w:val="000000"/>
          <w:szCs w:val="24"/>
          <w:lang w:eastAsia="hr-HR"/>
        </w:rPr>
      </w:pPr>
      <w:r w:rsidRPr="005203CE">
        <w:rPr>
          <w:rFonts w:ascii="inherit" w:eastAsia="Times New Roman" w:hAnsi="inherit" w:cs="Times New Roman"/>
          <w:b/>
          <w:bCs/>
          <w:color w:val="000000"/>
          <w:szCs w:val="24"/>
          <w:lang w:eastAsia="hr-HR"/>
        </w:rPr>
        <w:t>Razred opasnosti, šifre kategorija i šifre oznaka upozorenja za sastojke otpada te odgovarajuće granične vrijednosti koncentracija radi njegova razvrstavanja kao opasnog prema oznaci HP 6</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467"/>
        <w:gridCol w:w="1986"/>
        <w:gridCol w:w="1991"/>
        <w:gridCol w:w="2612"/>
      </w:tblGrid>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Razred opasnosti i šifre kategorija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Šifre oznaka upozorenja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Opis</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Granična vrijednost koncentracije</w:t>
            </w:r>
          </w:p>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lastRenderedPageBreak/>
              <w:t>(zbroj tvari)</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lastRenderedPageBreak/>
              <w:t>Akutna toks. 1 (oralna)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H300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Smrtonosno ako se proguta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 0,1 %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Akutna toks. 2 (oralna)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H300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Smrtonosno ako se proguta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 0,25 %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Akutna toks. 3 (oralna)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Otrovno ako se proguta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 5 %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Akutna toks. 4 (oralna)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Štetno ako se proguta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 25 %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Akutna toks. 1 (dermalna)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Smrtonosno u dodiru s kožom</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 0,25 %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Akutna toks. 2 (dermalna)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Smrtonosno u dodiru s kožom</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 2,5 %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Akutna toks. 3 (dermalna)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Otrovno u dodiru s kožom</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 15 %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Akutna toks. 4 (dermalna)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H312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Štetno u dodiru s kožom</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 55 %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Akutna toks. 1 (inhal.)</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H330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Smrtonosno ako se udiše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 0,1 %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Akutna toks. 2 (inhal.)</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H330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Smrtonosno ako se udiše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 0,5 %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Akutna toks. 3 (inhal.)</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H331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Otrovno ako se udiše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 3,5 %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Akutna toks. 4 (inhal.)</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H332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Štetno ako se udiše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 22,5 %</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Na slici 12. prikazan je postupak određivanja za HP 6.</w:t>
      </w:r>
      <w:hyperlink r:id="rId184" w:anchor="ntr17-C_2018124HR.01008701-E0017"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17</w:t>
        </w:r>
        <w:r w:rsidRPr="005203CE">
          <w:rPr>
            <w:rFonts w:ascii="inherit" w:eastAsia="Times New Roman" w:hAnsi="inherit" w:cs="Times New Roman"/>
            <w:color w:val="0000FF"/>
            <w:szCs w:val="24"/>
            <w:u w:val="single"/>
            <w:lang w:eastAsia="hr-HR"/>
          </w:rPr>
          <w:t>)</w:t>
        </w:r>
      </w:hyperlink>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noProof/>
          <w:color w:val="000000"/>
          <w:szCs w:val="24"/>
          <w:lang w:eastAsia="hr-HR"/>
        </w:rPr>
        <w:lastRenderedPageBreak/>
        <w:drawing>
          <wp:inline distT="0" distB="0" distL="0" distR="0">
            <wp:extent cx="5905500" cy="8124825"/>
            <wp:effectExtent l="0" t="0" r="0" b="9525"/>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905500" cy="8124825"/>
                    </a:xfrm>
                    <a:prstGeom prst="rect">
                      <a:avLst/>
                    </a:prstGeom>
                    <a:noFill/>
                    <a:ln>
                      <a:noFill/>
                    </a:ln>
                  </pic:spPr>
                </pic:pic>
              </a:graphicData>
            </a:graphic>
          </wp:inline>
        </w:drawing>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Ispitne metode</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Ocjenjivanje otpada u pogledu oznake HP 6 potrebno je provesti na temelju:</w:t>
      </w:r>
    </w:p>
    <w:tbl>
      <w:tblPr>
        <w:tblW w:w="5000" w:type="pct"/>
        <w:tblCellSpacing w:w="0" w:type="dxa"/>
        <w:tblCellMar>
          <w:left w:w="0" w:type="dxa"/>
          <w:right w:w="0" w:type="dxa"/>
        </w:tblCellMar>
        <w:tblLook w:val="04A0" w:firstRow="1" w:lastRow="0" w:firstColumn="1" w:lastColumn="0" w:noHBand="0" w:noVBand="1"/>
      </w:tblPr>
      <w:tblGrid>
        <w:gridCol w:w="533"/>
        <w:gridCol w:w="8539"/>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lastRenderedPageBreak/>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utvrđivanja pojedinačnih tvari u otpadu,</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860"/>
        <w:gridCol w:w="821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njihova razvrstavanja te</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439"/>
        <w:gridCol w:w="8633"/>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upućivanja na granične vrijednosti koncentracija.</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Ako se za određivanje ovog svojstva opasnosti razmatra ispitivanje, otpad koji sadržava tvari navedene u tablici 14. potrebno je ocijeniti u pogledu svojstava akutne toksičnosti u skladu sa Smjernicama ECHA-e za CLP.</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Nisu prikladne ispitne metode navedene u Uredbi o ispitnim metodama koje se temelje na ispitivanju na životinjama.</w:t>
      </w:r>
      <w:hyperlink r:id="rId186" w:anchor="ntr18-C_2018124HR.01008701-E0018"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18</w:t>
        </w:r>
        <w:r w:rsidRPr="005203CE">
          <w:rPr>
            <w:rFonts w:ascii="inherit" w:eastAsia="Times New Roman" w:hAnsi="inherit" w:cs="Times New Roman"/>
            <w:color w:val="0000FF"/>
            <w:szCs w:val="24"/>
            <w:u w:val="single"/>
            <w:lang w:eastAsia="hr-HR"/>
          </w:rPr>
          <w:t>)</w:t>
        </w:r>
      </w:hyperlink>
      <w:r w:rsidRPr="005203CE">
        <w:rPr>
          <w:rFonts w:ascii="inherit" w:eastAsia="Times New Roman" w:hAnsi="inherit" w:cs="Times New Roman"/>
          <w:color w:val="000000"/>
          <w:szCs w:val="24"/>
          <w:lang w:eastAsia="hr-HR"/>
        </w:rPr>
        <w:t> Dodatne in vitro metode mogu biti dostupne iz drugih izvora, kao što je referentni laboratorij Europske unije za alternative ispitivanju na životinjama.</w:t>
      </w:r>
      <w:hyperlink r:id="rId187" w:anchor="ntr19-C_2018124HR.01008701-E0019"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19</w:t>
        </w:r>
        <w:r w:rsidRPr="005203CE">
          <w:rPr>
            <w:rFonts w:ascii="inherit" w:eastAsia="Times New Roman" w:hAnsi="inherit" w:cs="Times New Roman"/>
            <w:color w:val="0000FF"/>
            <w:szCs w:val="24"/>
            <w:u w:val="single"/>
            <w:lang w:eastAsia="hr-HR"/>
          </w:rPr>
          <w:t>)</w:t>
        </w:r>
      </w:hyperlink>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Ako je opasno svojstvo otpada ocijenjeno ispitivanjem i korištenjem koncentracija opasnih tvari kao što je navedeno u Prilogu III. ODO-u, prednost imaju rezultati ispitivanja.</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3.7.    </w:t>
      </w:r>
      <w:r w:rsidRPr="005203CE">
        <w:rPr>
          <w:rFonts w:ascii="inherit" w:eastAsia="Times New Roman" w:hAnsi="inherit" w:cs="Times New Roman"/>
          <w:b/>
          <w:bCs/>
          <w:i/>
          <w:iCs/>
          <w:color w:val="000000"/>
          <w:szCs w:val="24"/>
          <w:lang w:eastAsia="hr-HR"/>
        </w:rPr>
        <w:t>Određivanje oznake HP 7: Karcinogeno</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Definicija i daljnji opis iz Priloga III. ODO-u</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Prilogu III. ODO-u oznaka HP 7 „Karcinogeno” definira se kao:</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„otpad koji izaziva rak ili povećava njegovu pojavnost”</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ODO-u se dalje objašnjava: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„Kad otpad sadržava tvar koja je razvrstana u jedan od sljedećih razreda opasnosti i prema šiframa kategorija i šiframa oznaka upozorenja te koja je jednaka ili premašuje jednu od sljedećih graničnih koncentracija iz tablice 6.</w:t>
      </w:r>
      <w:r w:rsidRPr="005203CE">
        <w:rPr>
          <w:rFonts w:ascii="inherit" w:eastAsia="Times New Roman" w:hAnsi="inherit" w:cs="Times New Roman"/>
          <w:color w:val="000000"/>
          <w:szCs w:val="24"/>
          <w:lang w:eastAsia="hr-HR"/>
        </w:rPr>
        <w:t> [vidjeti tablicu 15. u ovom dokumentu]</w:t>
      </w:r>
      <w:r w:rsidRPr="005203CE">
        <w:rPr>
          <w:rFonts w:ascii="inherit" w:eastAsia="Times New Roman" w:hAnsi="inherit" w:cs="Times New Roman"/>
          <w:i/>
          <w:iCs/>
          <w:color w:val="000000"/>
          <w:szCs w:val="24"/>
          <w:lang w:eastAsia="hr-HR"/>
        </w:rPr>
        <w:t>, otpad se klasificira kao opasan oznakom HP 7. Kad je u otpadu prisutno više tvari koje su razvrstane kao karcinogene, pojedinačna tvar mora biti prisutna u graničnoj vrijednosti koncentracija ili iznad nje da bi otpad bio klasificiran kao opasan oznakom HP 7.”</w:t>
      </w:r>
    </w:p>
    <w:p w:rsidR="005203CE" w:rsidRPr="005203CE" w:rsidRDefault="005203CE" w:rsidP="005203CE">
      <w:pPr>
        <w:spacing w:before="120" w:after="120" w:line="240" w:lineRule="auto"/>
        <w:jc w:val="center"/>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Tablica 15.</w:t>
      </w:r>
    </w:p>
    <w:p w:rsidR="005203CE" w:rsidRPr="005203CE" w:rsidRDefault="005203CE" w:rsidP="005203CE">
      <w:pPr>
        <w:spacing w:before="120" w:after="120" w:line="240" w:lineRule="auto"/>
        <w:jc w:val="center"/>
        <w:rPr>
          <w:rFonts w:ascii="inherit" w:eastAsia="Times New Roman" w:hAnsi="inherit" w:cs="Times New Roman"/>
          <w:color w:val="000000"/>
          <w:szCs w:val="24"/>
          <w:lang w:eastAsia="hr-HR"/>
        </w:rPr>
      </w:pPr>
      <w:r w:rsidRPr="005203CE">
        <w:rPr>
          <w:rFonts w:ascii="inherit" w:eastAsia="Times New Roman" w:hAnsi="inherit" w:cs="Times New Roman"/>
          <w:b/>
          <w:bCs/>
          <w:color w:val="000000"/>
          <w:szCs w:val="24"/>
          <w:lang w:eastAsia="hr-HR"/>
        </w:rPr>
        <w:t>Razred opasnosti, šifre kategorija i šifre oznaka upozorenja za sastojke otpada te odgovarajuće granične vrijednosti koncentracija radi njegova razvrstavanja kao opasnog prema oznaci HP 7</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362"/>
        <w:gridCol w:w="1928"/>
        <w:gridCol w:w="2245"/>
        <w:gridCol w:w="2521"/>
      </w:tblGrid>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Razred opasnosti i šifre kategorija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Šifre oznaka upozorenja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Opis</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Granična vrijednost koncentracije</w:t>
            </w:r>
          </w:p>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(Pojedinačna tvar)</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Karc. 1A</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H350</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Može uzrokovati rak</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 0,1 %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Karc. 1B</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Karc. 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H351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Sumnja na moguće uzrokovanje raka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 1,0 %</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Primjer za ocjenjivanje azbesta u pogledu oznake HP 7 nalazi se u Prilogu 1., odjeljku 1.4.3.</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Na slici 13. prikazan je postupak određivanja za HP 7.</w:t>
      </w:r>
      <w:hyperlink r:id="rId188" w:anchor="ntr20-C_2018124HR.01008701-E0020"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20</w:t>
        </w:r>
        <w:r w:rsidRPr="005203CE">
          <w:rPr>
            <w:rFonts w:ascii="inherit" w:eastAsia="Times New Roman" w:hAnsi="inherit" w:cs="Times New Roman"/>
            <w:color w:val="0000FF"/>
            <w:szCs w:val="24"/>
            <w:u w:val="single"/>
            <w:lang w:eastAsia="hr-HR"/>
          </w:rPr>
          <w:t>)</w:t>
        </w:r>
      </w:hyperlink>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noProof/>
          <w:color w:val="000000"/>
          <w:szCs w:val="24"/>
          <w:lang w:eastAsia="hr-HR"/>
        </w:rPr>
        <w:lastRenderedPageBreak/>
        <w:drawing>
          <wp:inline distT="0" distB="0" distL="0" distR="0">
            <wp:extent cx="5286375" cy="2619375"/>
            <wp:effectExtent l="0" t="0" r="9525" b="9525"/>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286375" cy="2619375"/>
                    </a:xfrm>
                    <a:prstGeom prst="rect">
                      <a:avLst/>
                    </a:prstGeom>
                    <a:noFill/>
                    <a:ln>
                      <a:noFill/>
                    </a:ln>
                  </pic:spPr>
                </pic:pic>
              </a:graphicData>
            </a:graphic>
          </wp:inline>
        </w:drawing>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Ispitne metode</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Ocjenjivanje otpada u pogledu oznake HP 7 potrebno je provesti na temelju:</w:t>
      </w:r>
    </w:p>
    <w:tbl>
      <w:tblPr>
        <w:tblW w:w="5000" w:type="pct"/>
        <w:tblCellSpacing w:w="0" w:type="dxa"/>
        <w:tblCellMar>
          <w:left w:w="0" w:type="dxa"/>
          <w:right w:w="0" w:type="dxa"/>
        </w:tblCellMar>
        <w:tblLook w:val="04A0" w:firstRow="1" w:lastRow="0" w:firstColumn="1" w:lastColumn="0" w:noHBand="0" w:noVBand="1"/>
      </w:tblPr>
      <w:tblGrid>
        <w:gridCol w:w="533"/>
        <w:gridCol w:w="8539"/>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utvrđivanja pojedinačnih tvari u otpadu,</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860"/>
        <w:gridCol w:w="821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njihova razvrstavanja te</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439"/>
        <w:gridCol w:w="8633"/>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upućivanja na granične vrijednosti koncentracija.</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Ako se za određivanje ovog svojstva opasnosti razmatra ispitivanje, otpad koji sadržava tvari navedene u tablici 15. potrebno je ocijeniti u pogledu svojstava karcinogenosti u skladu sa Smjernicama ECHA-e za CLP.</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Potrebno je napomenuti da u Uredbi CLP određivanje karcinogenosti nije predviđeno za otpad ni za smjese. Ispitivanje mutagenosti (vidjeti odjeljak 3.11.) u brojnim se slučajevima smatra prikladnim pokazateljem potencijalne karcinogenosti.</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3.8.    </w:t>
      </w:r>
      <w:r w:rsidRPr="005203CE">
        <w:rPr>
          <w:rFonts w:ascii="inherit" w:eastAsia="Times New Roman" w:hAnsi="inherit" w:cs="Times New Roman"/>
          <w:b/>
          <w:bCs/>
          <w:i/>
          <w:iCs/>
          <w:color w:val="000000"/>
          <w:szCs w:val="24"/>
          <w:lang w:eastAsia="hr-HR"/>
        </w:rPr>
        <w:t>Određivanje oznake HP 8: Nagrizajuće</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Definicija i daljnji opis iz Priloga III. ODO-u</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Prilogu III. ODO-u oznaka HP 8 „Nagrizajuće” definira se kao:</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„otpad u dodiru s kojim može doći do nagrizajućeg djelovanja na kožu”.</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Oznake HP 8 i HP 4 povezane su jer se odnose na potencijalno oštećenje ili štetno djelovanje različitih razina ozbiljnosti. Vidjeti 3.4. za više detalja.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ODO-u se dalje objašnjava: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„Kad otpad sadržava jednu ili više tvari koje su razvrstane kao ‚Nagriz. kožu’ kategorije 1A, 1B ili 1C (H314), a zbroj njihovih koncentracija jednak je ili premašuje 5 %, otpad se klasificira kao opasan oznakom HP 8.”</w:t>
      </w:r>
    </w:p>
    <w:p w:rsidR="005203CE" w:rsidRPr="005203CE" w:rsidRDefault="005203CE" w:rsidP="005203CE">
      <w:pPr>
        <w:spacing w:before="120" w:after="120" w:line="240" w:lineRule="auto"/>
        <w:jc w:val="center"/>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Tablica 16.</w:t>
      </w:r>
    </w:p>
    <w:p w:rsidR="005203CE" w:rsidRPr="005203CE" w:rsidRDefault="005203CE" w:rsidP="005203CE">
      <w:pPr>
        <w:spacing w:before="120" w:after="120" w:line="240" w:lineRule="auto"/>
        <w:jc w:val="center"/>
        <w:rPr>
          <w:rFonts w:ascii="inherit" w:eastAsia="Times New Roman" w:hAnsi="inherit" w:cs="Times New Roman"/>
          <w:color w:val="000000"/>
          <w:szCs w:val="24"/>
          <w:lang w:eastAsia="hr-HR"/>
        </w:rPr>
      </w:pPr>
      <w:r w:rsidRPr="005203CE">
        <w:rPr>
          <w:rFonts w:ascii="inherit" w:eastAsia="Times New Roman" w:hAnsi="inherit" w:cs="Times New Roman"/>
          <w:b/>
          <w:bCs/>
          <w:color w:val="000000"/>
          <w:szCs w:val="24"/>
          <w:lang w:eastAsia="hr-HR"/>
        </w:rPr>
        <w:t>Razred opasnosti, šifre kategorija i šifre oznaka upozorenja za sastojke otpada te odgovarajuće granične vrijednosti koncentracija radi njegova razvrstavanja kao opasnog prema oznaci HP 8</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324"/>
        <w:gridCol w:w="1907"/>
        <w:gridCol w:w="2337"/>
        <w:gridCol w:w="2488"/>
      </w:tblGrid>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lastRenderedPageBreak/>
              <w:t>Razred opasnosti i šifre kategorija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Šifre oznaka upozorenja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Opis</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Granična vrijednost koncentracije</w:t>
            </w:r>
          </w:p>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(Zbroj tvari)</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Nagriz. kožu 1A, 1B ili 1C</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H314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Uzrokuje teške opekline kože i ozljede oka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 5 %</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slučajevima kad otpad sadržava:</w:t>
      </w:r>
    </w:p>
    <w:tbl>
      <w:tblPr>
        <w:tblW w:w="5000" w:type="pct"/>
        <w:tblCellSpacing w:w="0" w:type="dxa"/>
        <w:tblCellMar>
          <w:left w:w="0" w:type="dxa"/>
          <w:right w:w="0" w:type="dxa"/>
        </w:tblCellMar>
        <w:tblLook w:val="04A0" w:firstRow="1" w:lastRow="0" w:firstColumn="1" w:lastColumn="0" w:noHBand="0" w:noVBand="1"/>
      </w:tblPr>
      <w:tblGrid>
        <w:gridCol w:w="390"/>
        <w:gridCol w:w="868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tvar koja se razvrstava oznakom H314 Nagriz. kožu 1A</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697"/>
        <w:gridCol w:w="8375"/>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u koncentraciji ≥ 1 % i ≤ 5 %,</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vidjeti i oznaku HP 4 Nadražujuće (poglavlje 3.4. ovog dokumenta).</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Granične vrijednosti</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Sljedeće se granične vrijednosti primjenjuju za ocjenjivanje:</w:t>
      </w:r>
    </w:p>
    <w:tbl>
      <w:tblPr>
        <w:tblW w:w="5000" w:type="pct"/>
        <w:tblCellSpacing w:w="0" w:type="dxa"/>
        <w:tblCellMar>
          <w:left w:w="0" w:type="dxa"/>
          <w:right w:w="0" w:type="dxa"/>
        </w:tblCellMar>
        <w:tblLook w:val="04A0" w:firstRow="1" w:lastRow="0" w:firstColumn="1" w:lastColumn="0" w:noHBand="0" w:noVBand="1"/>
      </w:tblPr>
      <w:tblGrid>
        <w:gridCol w:w="1316"/>
        <w:gridCol w:w="7756"/>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Za H314: 1 %.</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Pojedinačna tvar prisutna u koncentraciji nižoj od te granične vrijednosti nije uključena u zbroj koncentracija za H314.</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Na slici 14. prikazan je postupak određivanja za HP 8.</w:t>
      </w:r>
      <w:hyperlink r:id="rId190" w:anchor="ntr21-C_2018124HR.01008701-E0021"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21</w:t>
        </w:r>
        <w:r w:rsidRPr="005203CE">
          <w:rPr>
            <w:rFonts w:ascii="inherit" w:eastAsia="Times New Roman" w:hAnsi="inherit" w:cs="Times New Roman"/>
            <w:color w:val="0000FF"/>
            <w:szCs w:val="24"/>
            <w:u w:val="single"/>
            <w:lang w:eastAsia="hr-HR"/>
          </w:rPr>
          <w:t>)</w:t>
        </w:r>
      </w:hyperlink>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noProof/>
          <w:color w:val="000000"/>
          <w:szCs w:val="24"/>
          <w:lang w:eastAsia="hr-HR"/>
        </w:rPr>
        <w:lastRenderedPageBreak/>
        <w:drawing>
          <wp:inline distT="0" distB="0" distL="0" distR="0">
            <wp:extent cx="6162675" cy="6153150"/>
            <wp:effectExtent l="0" t="0" r="9525" b="0"/>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162675" cy="6153150"/>
                    </a:xfrm>
                    <a:prstGeom prst="rect">
                      <a:avLst/>
                    </a:prstGeom>
                    <a:noFill/>
                    <a:ln>
                      <a:noFill/>
                    </a:ln>
                  </pic:spPr>
                </pic:pic>
              </a:graphicData>
            </a:graphic>
          </wp:inline>
        </w:drawing>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Ispitne metode</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Ocjenjivanje otpada u pogledu oznake HP 8 potrebno je provesti na temelju:</w:t>
      </w:r>
    </w:p>
    <w:tbl>
      <w:tblPr>
        <w:tblW w:w="5000" w:type="pct"/>
        <w:tblCellSpacing w:w="0" w:type="dxa"/>
        <w:tblCellMar>
          <w:left w:w="0" w:type="dxa"/>
          <w:right w:w="0" w:type="dxa"/>
        </w:tblCellMar>
        <w:tblLook w:val="04A0" w:firstRow="1" w:lastRow="0" w:firstColumn="1" w:lastColumn="0" w:noHBand="0" w:noVBand="1"/>
      </w:tblPr>
      <w:tblGrid>
        <w:gridCol w:w="533"/>
        <w:gridCol w:w="8539"/>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utvrđivanja pojedinačnih tvari u otpadu,</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860"/>
        <w:gridCol w:w="821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njihova razvrstavanja te</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2"/>
        <w:gridCol w:w="8830"/>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upućivanja na granične vrijednosti koncentracije iz Priloga III. Okvirnoj direktivi o otpadu.</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Ako se za određivanje ovog svojstva opasnosti razmatra ispitivanje, otpad koji sadržava tvari navedene u tablici 16. potrebno je ocijeniti u pogledu nagrizajućih i nadražujućih svojstava u skladu sa Smjernicama ECHA-e za CLP. Smjesa kojoj je tim ocjenjivanjem dodijeljena oznaka H314 smatra se opasnom prema oznaci HP 8.</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lastRenderedPageBreak/>
        <w:t>U dijelu B Priloga Uredbi o ispitnim metodama navode se sljedeće in vitro ispitne metode koje se mogu razmotriti u ocjenjivanju za oznaku HP 8 „Nagrizajuće”:</w:t>
      </w:r>
    </w:p>
    <w:tbl>
      <w:tblPr>
        <w:tblW w:w="5000" w:type="pct"/>
        <w:tblCellSpacing w:w="0" w:type="dxa"/>
        <w:tblCellMar>
          <w:left w:w="0" w:type="dxa"/>
          <w:right w:w="0" w:type="dxa"/>
        </w:tblCellMar>
        <w:tblLook w:val="04A0" w:firstRow="1" w:lastRow="0" w:firstColumn="1" w:lastColumn="0" w:noHBand="0" w:noVBand="1"/>
      </w:tblPr>
      <w:tblGrid>
        <w:gridCol w:w="295"/>
        <w:gridCol w:w="8777"/>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B.40. Nagrizanje kože in vitro: test transkutanog električnog otpora (TER)</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342"/>
        <w:gridCol w:w="8730"/>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B.40 BIS. Nagrizanje kože in vitro: test na modelu ljudske kože</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Nisu prikladne ispitne metode navedene u Uredbi o ispitnim metodama koje se temelje na ispitivanju na životinjama.</w:t>
      </w:r>
      <w:hyperlink r:id="rId192" w:anchor="ntr22-C_2018124HR.01008701-E0022"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22</w:t>
        </w:r>
        <w:r w:rsidRPr="005203CE">
          <w:rPr>
            <w:rFonts w:ascii="inherit" w:eastAsia="Times New Roman" w:hAnsi="inherit" w:cs="Times New Roman"/>
            <w:color w:val="0000FF"/>
            <w:szCs w:val="24"/>
            <w:u w:val="single"/>
            <w:lang w:eastAsia="hr-HR"/>
          </w:rPr>
          <w:t>)</w:t>
        </w:r>
      </w:hyperlink>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Ako je opasno svojstvo otpada ocijenjeno ispitivanjem i korištenjem koncentracija opasnih tvari kao što je navedeno u Prilogu III. ODO-u, prednost imaju rezultati ispitivanja.</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3.9.    </w:t>
      </w:r>
      <w:r w:rsidRPr="005203CE">
        <w:rPr>
          <w:rFonts w:ascii="inherit" w:eastAsia="Times New Roman" w:hAnsi="inherit" w:cs="Times New Roman"/>
          <w:b/>
          <w:bCs/>
          <w:i/>
          <w:iCs/>
          <w:color w:val="000000"/>
          <w:szCs w:val="24"/>
          <w:lang w:eastAsia="hr-HR"/>
        </w:rPr>
        <w:t>Određivanje oznake HP 9: Zarazno</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Definicija i daljnji opis iz Priloga III. ODO-u</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Prilogu III. ODO-u oznaka HP 9 „Zarazno” definira se kao:</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„otpad koji sadržava održive mikroorganizme ili njihove toksine za koje se vjeruje ili se pouzdano zna da uzrokuju bolesti ljudi i drugih živih organizama.”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ODO-u se dalje objašnjava: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„Dodjela oznake HP 9 ocjenjuje se prema pravilima utvrđenim u referentnim dokumentima ili zakonodavstvu u državama članicama.”</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Napomene o postupku ocjenjivanja za HP 9</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Toksine iz mikroorganizama potrebno je ocijeniti analogno kemijskim tvarima uzimanjem u obzir njihovih dodijeljenih šifra oznaka upozorenja i odgovarajućih povezanih svojstava opasnosti. Ne postoje šifre oznaka upozorenja za zarazne mikroorganizme jer se oni ne smatraju opasnim tvarima na temelju Uredbe CLP.</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Ocjenjivanje u pogledu oznake HP 9 ovisi o upućivanju na kategorije specifičnih rizičnih skupina organizama u skladu s njihovim potencijalom uzrokovanja i širenja zaraze i njihovom potencijalnom kliničkom liječenju.</w:t>
      </w:r>
      <w:hyperlink r:id="rId193" w:anchor="ntr23-C_2018124HR.01008701-E0023"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23</w:t>
        </w:r>
        <w:r w:rsidRPr="005203CE">
          <w:rPr>
            <w:rFonts w:ascii="inherit" w:eastAsia="Times New Roman" w:hAnsi="inherit" w:cs="Times New Roman"/>
            <w:color w:val="0000FF"/>
            <w:szCs w:val="24"/>
            <w:u w:val="single"/>
            <w:lang w:eastAsia="hr-HR"/>
          </w:rPr>
          <w:t>)</w:t>
        </w:r>
      </w:hyperlink>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Svjetska zdravstvena organizacija</w:t>
      </w:r>
      <w:hyperlink r:id="rId194" w:anchor="ntr24-C_2018124HR.01008701-E0024"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24</w:t>
        </w:r>
        <w:r w:rsidRPr="005203CE">
          <w:rPr>
            <w:rFonts w:ascii="inherit" w:eastAsia="Times New Roman" w:hAnsi="inherit" w:cs="Times New Roman"/>
            <w:color w:val="0000FF"/>
            <w:szCs w:val="24"/>
            <w:u w:val="single"/>
            <w:lang w:eastAsia="hr-HR"/>
          </w:rPr>
          <w:t>)</w:t>
        </w:r>
      </w:hyperlink>
      <w:r w:rsidRPr="005203CE">
        <w:rPr>
          <w:rFonts w:ascii="inherit" w:eastAsia="Times New Roman" w:hAnsi="inherit" w:cs="Times New Roman"/>
          <w:color w:val="000000"/>
          <w:szCs w:val="24"/>
          <w:lang w:eastAsia="hr-HR"/>
        </w:rPr>
        <w:t> uspostavila je općenito priznati sustav kategoriziranja organizama u četiri rizične skupine:</w:t>
      </w:r>
    </w:p>
    <w:tbl>
      <w:tblPr>
        <w:tblW w:w="5000" w:type="pct"/>
        <w:tblCellSpacing w:w="0" w:type="dxa"/>
        <w:tblCellMar>
          <w:left w:w="0" w:type="dxa"/>
          <w:right w:w="0" w:type="dxa"/>
        </w:tblCellMar>
        <w:tblLook w:val="04A0" w:firstRow="1" w:lastRow="0" w:firstColumn="1" w:lastColumn="0" w:noHBand="0" w:noVBand="1"/>
      </w:tblPr>
      <w:tblGrid>
        <w:gridCol w:w="319"/>
        <w:gridCol w:w="8753"/>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Rizična skupina 4 (visok pojedinačni rizik, visok rizik za zajednicu),</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319"/>
        <w:gridCol w:w="8753"/>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Rizična skupina 3 (visok pojedinačni rizik, nizak rizik za zajednicu),</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307"/>
        <w:gridCol w:w="8765"/>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Rizična skupina 2 (umjeren pojedinačni rizik, nizak rizik za zajednicu),</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345"/>
        <w:gridCol w:w="8727"/>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Rizična skupina 1 (nizak pojedinačni rizik i rizik za zajednicu).</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UN je preuzeo taj pristup</w:t>
      </w:r>
      <w:hyperlink r:id="rId195" w:anchor="ntr25-C_2018124HR.01008701-E0025"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25</w:t>
        </w:r>
        <w:r w:rsidRPr="005203CE">
          <w:rPr>
            <w:rFonts w:ascii="inherit" w:eastAsia="Times New Roman" w:hAnsi="inherit" w:cs="Times New Roman"/>
            <w:color w:val="0000FF"/>
            <w:szCs w:val="24"/>
            <w:u w:val="single"/>
            <w:lang w:eastAsia="hr-HR"/>
          </w:rPr>
          <w:t>)</w:t>
        </w:r>
      </w:hyperlink>
      <w:r w:rsidRPr="005203CE">
        <w:rPr>
          <w:rFonts w:ascii="inherit" w:eastAsia="Times New Roman" w:hAnsi="inherit" w:cs="Times New Roman"/>
          <w:color w:val="000000"/>
          <w:szCs w:val="24"/>
          <w:lang w:eastAsia="hr-HR"/>
        </w:rPr>
        <w:t> i sastavio okvirni popis zaraznih tvari (vidjeti tablicu 17.).</w:t>
      </w:r>
    </w:p>
    <w:p w:rsidR="005203CE" w:rsidRPr="005203CE" w:rsidRDefault="005203CE" w:rsidP="005203CE">
      <w:pPr>
        <w:spacing w:before="120" w:after="120" w:line="240" w:lineRule="auto"/>
        <w:jc w:val="center"/>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Tablica 17.</w:t>
      </w:r>
    </w:p>
    <w:p w:rsidR="005203CE" w:rsidRPr="005203CE" w:rsidRDefault="005203CE" w:rsidP="005203CE">
      <w:pPr>
        <w:spacing w:before="120" w:after="120" w:line="240" w:lineRule="auto"/>
        <w:jc w:val="center"/>
        <w:rPr>
          <w:rFonts w:ascii="inherit" w:eastAsia="Times New Roman" w:hAnsi="inherit" w:cs="Times New Roman"/>
          <w:color w:val="000000"/>
          <w:szCs w:val="24"/>
          <w:lang w:eastAsia="hr-HR"/>
        </w:rPr>
      </w:pPr>
      <w:r w:rsidRPr="005203CE">
        <w:rPr>
          <w:rFonts w:ascii="inherit" w:eastAsia="Times New Roman" w:hAnsi="inherit" w:cs="Times New Roman"/>
          <w:b/>
          <w:bCs/>
          <w:color w:val="000000"/>
          <w:szCs w:val="24"/>
          <w:lang w:eastAsia="hr-HR"/>
        </w:rPr>
        <w:t>Okvirni primjeri zaraznih tvari uključenih u kategoriju A</w:t>
      </w:r>
      <w:r w:rsidRPr="005203CE">
        <w:rPr>
          <w:rFonts w:ascii="inherit" w:eastAsia="Times New Roman" w:hAnsi="inherit" w:cs="Times New Roman"/>
          <w:color w:val="000000"/>
          <w:szCs w:val="24"/>
          <w:lang w:eastAsia="hr-HR"/>
        </w:rPr>
        <w:t> </w:t>
      </w:r>
      <w:hyperlink r:id="rId196" w:anchor="ntr26-C_2018124HR.01008701-E0026"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26</w:t>
        </w:r>
        <w:r w:rsidRPr="005203CE">
          <w:rPr>
            <w:rFonts w:ascii="inherit" w:eastAsia="Times New Roman" w:hAnsi="inherit" w:cs="Times New Roman"/>
            <w:color w:val="0000FF"/>
            <w:szCs w:val="24"/>
            <w:u w:val="single"/>
            <w:lang w:eastAsia="hr-HR"/>
          </w:rPr>
          <w:t>)</w:t>
        </w:r>
      </w:hyperlink>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393"/>
        <w:gridCol w:w="5663"/>
      </w:tblGrid>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UN broj i ispravno otpremno ime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Mikroorganizam</w:t>
            </w:r>
          </w:p>
        </w:tc>
      </w:tr>
      <w:tr w:rsidR="005203CE" w:rsidRPr="005203CE" w:rsidTr="005203CE">
        <w:trPr>
          <w:tblCellSpacing w:w="0" w:type="dxa"/>
        </w:trPr>
        <w:tc>
          <w:tcPr>
            <w:tcW w:w="0" w:type="auto"/>
            <w:gridSpan w:val="2"/>
            <w:vAlign w:val="center"/>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lastRenderedPageBreak/>
              <w:t>Okvirni primjeri zaraznih tvari uključenih u kategoriju A u bilo kojem obliku, osim ako je drukčije naznačeno</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b/>
                <w:bCs/>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UN 2814</w:t>
            </w:r>
            <w:r w:rsidRPr="005203CE">
              <w:rPr>
                <w:rFonts w:ascii="inherit" w:eastAsia="Times New Roman" w:hAnsi="inherit" w:cs="Times New Roman"/>
                <w:sz w:val="22"/>
                <w:szCs w:val="22"/>
                <w:lang w:eastAsia="hr-HR"/>
              </w:rPr>
              <w:t> Zarazne tvari opasne po ljude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Bacillus anthracis (samo kulture)</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Brucella abortus (samo kulture)</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Brucella melitensis (samo kulture)</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Brucella suis (samo kulture)</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Burkholderia mallei – Pseudomonas mallei – Slinavka (samo kulture)</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Burkholderia pseudomallei – Pseudomonas pseudomallei (samo kulture)</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Chlamydia psittaci – ptičji sojevi (samo kulture)</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Clostridium botulinum (samo kulture)</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Coccidioides immitis (samo kulture)</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Coxiella burnetii (samo kulture)</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Virus krimsko-kongoanske hemoragijske groznice</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Virus denga (samo kulture)</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Virus istočnog encefalitisa konja (samo kulture)</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Escherichia coli, verotoksigena (samo kulture)</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Virus ebole</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Virus Flexal</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Francisella tularensis (samo kulture)</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Virus Guanarito</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Virus Hantaan</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Virusi Hanta koji uzrokuju hemoragijsku groznicu s bubrežnim sindromom</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Virus Hendra</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Virus hepatitisa B (samo kulture)</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Virus herpesa B (samo kulture)</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Virus humane imunodeficijencije (samo kulture)</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Visokopatogeni virus influence ptica (samo kulture)</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Virus japanskog encefalitisa (samo kulture)</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Virus Junin</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Virus bolesti Kyasanur Forest</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Virus Lassa</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Virus Machupo</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Virus Marburg</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Virus majmunskih boginja</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Mycobacterium tuberculosis (samo kulture)</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Virus Nipah</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Virus hemoragijske groznice Omsk</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Poliovirus (samo kulture)</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Virus bjesnoće (samo kulture)</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Rickettsia prowazekii (samo kulture)</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Rickettsia rickettsii (samo kulture)</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lastRenderedPageBreak/>
              <w:t>Virus groznice riftske doline (samo kulture)</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Virus ruskog proljetno-ljetnog encefalitisa (samo kulture)</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Virus Sabia</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Shigella dysenteriae tip 1 (samo kulture)</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Virus krpeljnog encefalitisa (samo kulture)</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Virus variole</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Virus venezuelskog encefalitisa konja (samo kulture)</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Virus Zapadnog Nila (samo kulture)</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Virus žute groznice (samo kulture)</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Yersinia pestis (samo kulture)</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lastRenderedPageBreak/>
              <w:t>UN 2900</w:t>
            </w:r>
            <w:r w:rsidRPr="005203CE">
              <w:rPr>
                <w:rFonts w:ascii="inherit" w:eastAsia="Times New Roman" w:hAnsi="inherit" w:cs="Times New Roman"/>
                <w:sz w:val="22"/>
                <w:szCs w:val="22"/>
                <w:lang w:eastAsia="hr-HR"/>
              </w:rPr>
              <w:t> Zarazne tvari opasne samo po životinje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Virus afričke svinjske kuge (samo kulture)</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Ptičji paramiksovirus tipa 1 – virus velogenske newcastleske bolesti (samo kulture)</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Virus klasične svinjske kuge (samo kulture)</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Virus bolesti slinavke i šapa (samo kulture)</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Virus bolesti kvrgave kože (samo kulture)</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Mycoplasma mycoides – Zarazna pleuropneumonija goveda (samo kulture)</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Virus kuge malih preživača (</w:t>
            </w:r>
            <w:r w:rsidRPr="005203CE">
              <w:rPr>
                <w:rFonts w:ascii="inherit" w:eastAsia="Times New Roman" w:hAnsi="inherit" w:cs="Times New Roman"/>
                <w:i/>
                <w:iCs/>
                <w:sz w:val="22"/>
                <w:szCs w:val="22"/>
                <w:lang w:eastAsia="hr-HR"/>
              </w:rPr>
              <w:t>Peste des petits ruminants</w:t>
            </w:r>
            <w:r w:rsidRPr="005203CE">
              <w:rPr>
                <w:rFonts w:ascii="inherit" w:eastAsia="Times New Roman" w:hAnsi="inherit" w:cs="Times New Roman"/>
                <w:sz w:val="22"/>
                <w:szCs w:val="22"/>
                <w:lang w:eastAsia="hr-HR"/>
              </w:rPr>
              <w:t>) (samo kulture)</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Virus goveđe kuge (samo kulture)</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Virus boginja ovaca (samo kulture)</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Virus boginja koza (samo kulture)</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Virus vezikularne bolesti svinja (samo kulture)</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Virus vezikularnog stomatitisa (samo kulture)</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Zarazne tvari (uključujući otpad onečišćen takvim tvarima, kao što je medicinski ili klinički otpad) iz kategorije A (kao i kulture zaraznih tvari iz kategorije B) moraju u propisima o prijevozu biti razvrstane u kategoriju:</w:t>
      </w:r>
    </w:p>
    <w:tbl>
      <w:tblPr>
        <w:tblW w:w="5000" w:type="pct"/>
        <w:tblCellSpacing w:w="0" w:type="dxa"/>
        <w:tblCellMar>
          <w:left w:w="0" w:type="dxa"/>
          <w:right w:w="0" w:type="dxa"/>
        </w:tblCellMar>
        <w:tblLook w:val="04A0" w:firstRow="1" w:lastRow="0" w:firstColumn="1" w:lastColumn="0" w:noHBand="0" w:noVBand="1"/>
      </w:tblPr>
      <w:tblGrid>
        <w:gridCol w:w="488"/>
        <w:gridCol w:w="8584"/>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UN 2814 „zarazne tvari opasne po ljude” ili</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420"/>
        <w:gridCol w:w="865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UN 2900 „zarazne tvari opasne samo po životinje”.</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S obzirom na razvrstavanje koje se primjenjuje na temelju prethodno navedenog dokumenta UN-a, bez ispitivanja, može se donijeti obrazložena odluka o tome treba li predmetni otpad biti razvrstan kao opasan prema oznaci HP 9.</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tom pogledu, u Smjernicama Ujedinjene Kraljevine navode se dva općenita aspekta za ocjenjivanje u pogledu oznake HP 9:</w:t>
      </w: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ako je potrebno odlučiti treba li predmetnom otpadu dodijeliti zrcalni opasan unos ili zrcalni neopasan unos, otpadu će se dodijeliti zrcalni opasan unos na temelju oznake HP 9 ako sadržava toksin koji proizvodi mikroorganizam u koncentraciji u kojoj otpad pokazuje opasno svojstvo HP 5 (Specifična toksičnost za ciljni organ/aspiracijska toksičnost, vidjeti odjeljak 3.5.) ili HP 6 (Akutna toksičnost, vidjeti odjeljak 3.6.). Otpad koji može biti zarazan zbog mikrobnih toksina uključuje ostatke od jaružanja i plutajući otpad iz vodenih površina u kojima je došlo do cvjetanja cijanobakterija.</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lastRenderedPageBreak/>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Potrebno je utvrditi može li se odgovarajući otpad iz zdravstvene skrbi povezati sa zarazom te je li ga potrebno razvrstati kao zarazan.</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Što se tiče potonjeg aspekta, odgovarajući unosi na popisu otpada (zrcalni opasni i zrcalni neopasni unosi) koji su povezani s oznakom HP 9 jesu:</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26"/>
        <w:gridCol w:w="7886"/>
        <w:gridCol w:w="544"/>
      </w:tblGrid>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18 01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od porodništva, dijagnoze, liječenja ili prevencije bolesti kod ljudi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18 01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čije prikupljanje i zbrinjavanje mora zadovoljavati posebne uvjete radi prevencije infekcije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18 01 04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čije prikupljanje i zbrinjavanje ne mora zadovoljavati posebne uvjete radi prevencije infekcije (npr. zavoji, gips, posteljina, odjeća za jednokratnu upotrebu, pelene)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MNH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18 02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Otpad od istraživanja, dijagnoze, liječenja ili prevencije bolesti u životinja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18 02 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čije prikupljanje i zbrinjavanje mora zadovoljavati posebne uvjete radi prevencije infekcije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MH</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18 02 03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otpad čije prikupljanje i zbrinjavanje ne mora zadovoljavati posebne uvjete radi prevencije infekcije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MNH</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Kako bi se mogli razlikovati zrcalni unosi 18 01 03*/18 01 04, odnosno 18 02 02*/18 02 03 u Smjernicama Ujedinjene Kraljevine kao odlučujući kriterij upotrebljava se izraz „posebni zahtjev”. Sljedeće su informacije preuzete izravno iz Smjernica Ujedinjene Kraljevine, u kojima se navodi da se posebni zahtjevi primjenjuju u sljedećim slučajevima:</w:t>
      </w: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ako je poznato ili se sumnja da izvorišna osoba ili životinja (bolesnik) ima bolest/infekciju uzrokovanu mikroorganizmom ili njegovim toksinom i postoji vjerojatnost da otpad sadržava održivu zaraznu tvar ili toksin, ili</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ako je otpad kultura ili bogatstvo mikroorganizma ili njegovog toksina koji može uzrokovati bolest u čovjeka ili drugih živih životinja, ili je njima onečišćen, ili</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82"/>
        <w:gridCol w:w="8790"/>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ako otpad može zaraziti bilo koju osobu ili životinju koja s njim dođe u dodir.</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Prema Smjernicama Ujedinjene Kraljevine, posebne je zahtjeve potrebno utvrditi kliničkom procjenom predmeta u otpadu i svakog bolesnika, kako slijedi:</w:t>
      </w: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kliničku procjenu treba provesti zdravstveni djelatnik koji je upoznat s vrstom nastalog otpada, trenutačnim medicinskim stanjem te, gdje je to moguće, ranijim zdravstvenim stanjem bolesnika,</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nije izgledno da će uvijek kada bolesnik prvi puta pokaže simptome biti praktično ili moguće utvrditi konkretne patogene ili toksine u otpadu jer je za utvrđivanje laboratorijskom analizom potrebno određeno vrijeme. U postupku za utvrđivanje smatra li se otpad opasnim prema oznaci HP 9 potrebno je, stoga, pretpostaviti, kad je to slučaj, da tvar koja uzrokuje bolest nije potvrđena te se taj postupak treba temeljiti na kliničkoj procjeni s obzirom na to je li neidentificirana infekcija bilo kojeg tipa poznata ili se na nju sumnja,</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u tu je procjenu potrebno uključiti sve patogene i mikrobne toksine. U okviru oznake HP 9 ne uzima se u obzir ozbiljnost bolesti.</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lastRenderedPageBreak/>
        <w:t>Svaki otpad koji je razvrstan kao opasan oznakom HP 9 „Zarazno” potrebno je odvojiti od drugog otpada kako bi se spriječilo onečišćenje.</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Ispitne metode</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Uredbi o ispitnim metodama nisu navedene ispitne metode.</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3.10.    </w:t>
      </w:r>
      <w:r w:rsidRPr="005203CE">
        <w:rPr>
          <w:rFonts w:ascii="inherit" w:eastAsia="Times New Roman" w:hAnsi="inherit" w:cs="Times New Roman"/>
          <w:b/>
          <w:bCs/>
          <w:i/>
          <w:iCs/>
          <w:color w:val="000000"/>
          <w:szCs w:val="24"/>
          <w:lang w:eastAsia="hr-HR"/>
        </w:rPr>
        <w:t>Određivanje oznake HP 10: Toksično za reprodukciju</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Definicija i daljnji opis iz Priloga III. ODO-u</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Prilogu III. ODO-u oznaka HP 10 „Toksično za reprodukciju” definira se kao:</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„otpad koji negativno utječe na seksualnu funkciju i plodnost muškaraca i žena te na razvojnu toksičnost potomka”.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ODO-u se dalje objašnjava: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„Kad otpad sadržava tvar koja je razvrstana u jedan od sljedećih razreda opasnosti i prema šiframa kategorija i šiframa oznaka upozorenja te čija je koncentracija jednaka ili premašuje jednu od sljedećih graničnih vrijednosti koncentracija iz tablice 7.</w:t>
      </w:r>
      <w:r w:rsidRPr="005203CE">
        <w:rPr>
          <w:rFonts w:ascii="inherit" w:eastAsia="Times New Roman" w:hAnsi="inherit" w:cs="Times New Roman"/>
          <w:color w:val="000000"/>
          <w:szCs w:val="24"/>
          <w:lang w:eastAsia="hr-HR"/>
        </w:rPr>
        <w:t> [vidjeti tablicu 18. u ovom dokumentu]</w:t>
      </w:r>
      <w:r w:rsidRPr="005203CE">
        <w:rPr>
          <w:rFonts w:ascii="inherit" w:eastAsia="Times New Roman" w:hAnsi="inherit" w:cs="Times New Roman"/>
          <w:i/>
          <w:iCs/>
          <w:color w:val="000000"/>
          <w:szCs w:val="24"/>
          <w:lang w:eastAsia="hr-HR"/>
        </w:rPr>
        <w:t>, otpad se klasificira kao opasan oznakom HP 10. Kad je u otpadu prisutno više tvari koje su razvrstane kao toksične za reprodukciju, pojedinačna tvar mora biti prisutna u graničnoj vrijednosti koncentracija ili iznad nje da bi otpad bio klasificiran kao opasan oznakom HP 10.”</w:t>
      </w:r>
    </w:p>
    <w:p w:rsidR="005203CE" w:rsidRPr="005203CE" w:rsidRDefault="005203CE" w:rsidP="005203CE">
      <w:pPr>
        <w:spacing w:before="120" w:after="120" w:line="240" w:lineRule="auto"/>
        <w:jc w:val="center"/>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Tablica 18.</w:t>
      </w:r>
    </w:p>
    <w:p w:rsidR="005203CE" w:rsidRPr="005203CE" w:rsidRDefault="005203CE" w:rsidP="005203CE">
      <w:pPr>
        <w:spacing w:before="120" w:after="120" w:line="240" w:lineRule="auto"/>
        <w:jc w:val="center"/>
        <w:rPr>
          <w:rFonts w:ascii="inherit" w:eastAsia="Times New Roman" w:hAnsi="inherit" w:cs="Times New Roman"/>
          <w:color w:val="000000"/>
          <w:szCs w:val="24"/>
          <w:lang w:eastAsia="hr-HR"/>
        </w:rPr>
      </w:pPr>
      <w:r w:rsidRPr="005203CE">
        <w:rPr>
          <w:rFonts w:ascii="inherit" w:eastAsia="Times New Roman" w:hAnsi="inherit" w:cs="Times New Roman"/>
          <w:b/>
          <w:bCs/>
          <w:color w:val="000000"/>
          <w:szCs w:val="24"/>
          <w:lang w:eastAsia="hr-HR"/>
        </w:rPr>
        <w:t>Razred opasnosti, šifre kategorija i šifre oznaka upozorenja za sastojke otpada te odgovarajuće granične vrijednosti koncentracija radi njegova razvrstavanja kao opasnog prema oznaci HP 10</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874"/>
        <w:gridCol w:w="1662"/>
        <w:gridCol w:w="3421"/>
        <w:gridCol w:w="2099"/>
      </w:tblGrid>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Razred opasnosti i šifre kategorija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Šifre oznaka upozorenja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Opis</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Granična vrijednost koncentracije</w:t>
            </w:r>
          </w:p>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(Pojedinačna tvar)</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Repr. 1A</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H360</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i/>
                <w:iCs/>
                <w:sz w:val="22"/>
                <w:szCs w:val="22"/>
                <w:lang w:eastAsia="hr-HR"/>
              </w:rPr>
              <w:t>Može štetno djelovati na plodnost ili naškoditi nerođenom djetetu</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 0,3 %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Repr. 1B</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Repr. 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H361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i/>
                <w:iCs/>
                <w:sz w:val="22"/>
                <w:szCs w:val="22"/>
                <w:lang w:eastAsia="hr-HR"/>
              </w:rPr>
              <w:t>Sumnja na moguće štetno djelovanje na plodnost ili mogućnost štetnog djelovanja na nerođeno dijete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 3,0 %</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Na slici 15. prikazan je postupak određivanja za HP 10.</w:t>
      </w:r>
      <w:hyperlink r:id="rId197" w:anchor="ntr27-C_2018124HR.01008701-E0027"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27</w:t>
        </w:r>
        <w:r w:rsidRPr="005203CE">
          <w:rPr>
            <w:rFonts w:ascii="inherit" w:eastAsia="Times New Roman" w:hAnsi="inherit" w:cs="Times New Roman"/>
            <w:color w:val="0000FF"/>
            <w:szCs w:val="24"/>
            <w:u w:val="single"/>
            <w:lang w:eastAsia="hr-HR"/>
          </w:rPr>
          <w:t>)</w:t>
        </w:r>
      </w:hyperlink>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noProof/>
          <w:color w:val="000000"/>
          <w:szCs w:val="24"/>
          <w:lang w:eastAsia="hr-HR"/>
        </w:rPr>
        <w:lastRenderedPageBreak/>
        <w:drawing>
          <wp:inline distT="0" distB="0" distL="0" distR="0">
            <wp:extent cx="5410200" cy="2676525"/>
            <wp:effectExtent l="0" t="0" r="0" b="9525"/>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410200" cy="2676525"/>
                    </a:xfrm>
                    <a:prstGeom prst="rect">
                      <a:avLst/>
                    </a:prstGeom>
                    <a:noFill/>
                    <a:ln>
                      <a:noFill/>
                    </a:ln>
                  </pic:spPr>
                </pic:pic>
              </a:graphicData>
            </a:graphic>
          </wp:inline>
        </w:drawing>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Ispitne metode</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Ocjenjivanje otpada u pogledu oznake HP 10 potrebno je provesti na temelju:</w:t>
      </w:r>
    </w:p>
    <w:tbl>
      <w:tblPr>
        <w:tblW w:w="5000" w:type="pct"/>
        <w:tblCellSpacing w:w="0" w:type="dxa"/>
        <w:tblCellMar>
          <w:left w:w="0" w:type="dxa"/>
          <w:right w:w="0" w:type="dxa"/>
        </w:tblCellMar>
        <w:tblLook w:val="04A0" w:firstRow="1" w:lastRow="0" w:firstColumn="1" w:lastColumn="0" w:noHBand="0" w:noVBand="1"/>
      </w:tblPr>
      <w:tblGrid>
        <w:gridCol w:w="533"/>
        <w:gridCol w:w="8539"/>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utvrđivanja pojedinačnih tvari u otpadu,</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860"/>
        <w:gridCol w:w="821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njihova razvrstavanja te</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439"/>
        <w:gridCol w:w="8633"/>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upućivanja na granične vrijednosti koncentracija.</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Ako se za određivanje ovog svojstva opasnosti razmatra ispitivanje, otpad koji sadržava tvari navedene u tablici 18. potrebno je ocijeniti u pogledu svojstava toksičnih za reprodukciju u skladu sa Smjernicama ECHA-e za CLP.</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Potrebno je napomenuti da za in vitro ispitivanje toksičnosti za reprodukciju postoje vrlo ograničene mogućnosti. Ispitne metode navedene u Uredbi o ispitnim metodama uglavnom se temelje na ispitivanju na životinjama te stoga nisu prikladne.</w:t>
      </w:r>
      <w:hyperlink r:id="rId199" w:anchor="ntr28-C_2018124HR.01008701-E0028"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28</w:t>
        </w:r>
        <w:r w:rsidRPr="005203CE">
          <w:rPr>
            <w:rFonts w:ascii="inherit" w:eastAsia="Times New Roman" w:hAnsi="inherit" w:cs="Times New Roman"/>
            <w:color w:val="0000FF"/>
            <w:szCs w:val="24"/>
            <w:u w:val="single"/>
            <w:lang w:eastAsia="hr-HR"/>
          </w:rPr>
          <w:t>)</w:t>
        </w:r>
      </w:hyperlink>
      <w:r w:rsidRPr="005203CE">
        <w:rPr>
          <w:rFonts w:ascii="inherit" w:eastAsia="Times New Roman" w:hAnsi="inherit" w:cs="Times New Roman"/>
          <w:color w:val="000000"/>
          <w:szCs w:val="24"/>
          <w:lang w:eastAsia="hr-HR"/>
        </w:rPr>
        <w:t> Dodatne in vitro metode mogu biti dostupne iz drugih izvora, kao što je referentni laboratorij Europske unije za alternative ispitivanju na životinjama.</w:t>
      </w:r>
      <w:hyperlink r:id="rId200" w:anchor="ntr29-C_2018124HR.01008701-E0029"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29</w:t>
        </w:r>
        <w:r w:rsidRPr="005203CE">
          <w:rPr>
            <w:rFonts w:ascii="inherit" w:eastAsia="Times New Roman" w:hAnsi="inherit" w:cs="Times New Roman"/>
            <w:color w:val="0000FF"/>
            <w:szCs w:val="24"/>
            <w:u w:val="single"/>
            <w:lang w:eastAsia="hr-HR"/>
          </w:rPr>
          <w:t>)</w:t>
        </w:r>
      </w:hyperlink>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3.11.    </w:t>
      </w:r>
      <w:r w:rsidRPr="005203CE">
        <w:rPr>
          <w:rFonts w:ascii="inherit" w:eastAsia="Times New Roman" w:hAnsi="inherit" w:cs="Times New Roman"/>
          <w:b/>
          <w:bCs/>
          <w:i/>
          <w:iCs/>
          <w:color w:val="000000"/>
          <w:szCs w:val="24"/>
          <w:lang w:eastAsia="hr-HR"/>
        </w:rPr>
        <w:t>Određivanje oznake HP 11: Mutageno</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Definicija i daljnji opis iz Priloga III. ODO-u</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Prilogu III. ODO-u oznaka HP 11 „Mutageno” definira se kao:</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„otpad koji može izazvati mutaciju koja je trajna promjena količine ili strukture genetskog materijala stanice”.</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ODO-u se dalje objašnjava: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„Kad otpad sadržava tvar koja je razvrstana u jedan od sljedećih razreda opasnosti i prema šiframa kategorija i šiframa oznaka upozorenja te čija je koncentracija jednaka ili premašuje jednu od sljedećih graničnih vrijednosti koncentracija iz tablice 8.</w:t>
      </w:r>
      <w:r w:rsidRPr="005203CE">
        <w:rPr>
          <w:rFonts w:ascii="inherit" w:eastAsia="Times New Roman" w:hAnsi="inherit" w:cs="Times New Roman"/>
          <w:color w:val="000000"/>
          <w:szCs w:val="24"/>
          <w:lang w:eastAsia="hr-HR"/>
        </w:rPr>
        <w:t> [vidjeti tablicu 19. u ovom dokumentu]</w:t>
      </w:r>
      <w:r w:rsidRPr="005203CE">
        <w:rPr>
          <w:rFonts w:ascii="inherit" w:eastAsia="Times New Roman" w:hAnsi="inherit" w:cs="Times New Roman"/>
          <w:i/>
          <w:iCs/>
          <w:color w:val="000000"/>
          <w:szCs w:val="24"/>
          <w:lang w:eastAsia="hr-HR"/>
        </w:rPr>
        <w:t>, otpad se klasificira kao opasan oznakom HP 11. Kad je u otpadu prisutno više tvari koje su razvrstane kao mutagene, pojedinačna tvar mora biti prisutna u graničnoj vrijednosti koncentracija ili iznad nje da bi otpad bio klasificiran kao opasan oznakom HP 11.”</w:t>
      </w:r>
    </w:p>
    <w:p w:rsidR="005203CE" w:rsidRPr="005203CE" w:rsidRDefault="005203CE" w:rsidP="005203CE">
      <w:pPr>
        <w:spacing w:before="120" w:after="120" w:line="240" w:lineRule="auto"/>
        <w:jc w:val="center"/>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Tablica 19.</w:t>
      </w:r>
    </w:p>
    <w:p w:rsidR="005203CE" w:rsidRPr="005203CE" w:rsidRDefault="005203CE" w:rsidP="005203CE">
      <w:pPr>
        <w:spacing w:before="120" w:after="120" w:line="240" w:lineRule="auto"/>
        <w:jc w:val="center"/>
        <w:rPr>
          <w:rFonts w:ascii="inherit" w:eastAsia="Times New Roman" w:hAnsi="inherit" w:cs="Times New Roman"/>
          <w:color w:val="000000"/>
          <w:szCs w:val="24"/>
          <w:lang w:eastAsia="hr-HR"/>
        </w:rPr>
      </w:pPr>
      <w:r w:rsidRPr="005203CE">
        <w:rPr>
          <w:rFonts w:ascii="inherit" w:eastAsia="Times New Roman" w:hAnsi="inherit" w:cs="Times New Roman"/>
          <w:b/>
          <w:bCs/>
          <w:color w:val="000000"/>
          <w:szCs w:val="24"/>
          <w:lang w:eastAsia="hr-HR"/>
        </w:rPr>
        <w:lastRenderedPageBreak/>
        <w:t>Razred opasnosti, šifre kategorija i šifre oznaka upozorenja za sastojke otpada te odgovarajuće granične vrijednosti koncentracija radi njegova razvrstavanja kao opasnog oznakom HP 11 Mutageno</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241"/>
        <w:gridCol w:w="1862"/>
        <w:gridCol w:w="2536"/>
        <w:gridCol w:w="2417"/>
      </w:tblGrid>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Razred opasnosti i šifre kategorija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Šifre oznaka upozorenja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Opis</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Granična vrijednost koncentracije</w:t>
            </w:r>
          </w:p>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(Pojedinačna tvar)</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Muta. 1A</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H340</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i/>
                <w:iCs/>
                <w:sz w:val="22"/>
                <w:szCs w:val="22"/>
                <w:lang w:eastAsia="hr-HR"/>
              </w:rPr>
              <w:t>Može izazvati genetska oštećenja</w:t>
            </w:r>
          </w:p>
        </w:tc>
        <w:tc>
          <w:tcPr>
            <w:tcW w:w="0" w:type="auto"/>
            <w:vMerge w:val="restart"/>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 0,1 %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Muta. 1B</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Muta. 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H341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i/>
                <w:iCs/>
                <w:sz w:val="22"/>
                <w:szCs w:val="22"/>
                <w:lang w:eastAsia="hr-HR"/>
              </w:rPr>
              <w:t>Sumnja na moguće izazivanje genetskih oštećenja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 1,0 %</w:t>
            </w:r>
          </w:p>
        </w:tc>
      </w:tr>
    </w:tbl>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Dijagram toka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Na slici 16. prikazan je postupak određivanja za HP 11.</w:t>
      </w:r>
      <w:hyperlink r:id="rId201" w:anchor="ntr30-C_2018124HR.01008701-E0030"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30</w:t>
        </w:r>
        <w:r w:rsidRPr="005203CE">
          <w:rPr>
            <w:rFonts w:ascii="inherit" w:eastAsia="Times New Roman" w:hAnsi="inherit" w:cs="Times New Roman"/>
            <w:color w:val="0000FF"/>
            <w:szCs w:val="24"/>
            <w:u w:val="single"/>
            <w:lang w:eastAsia="hr-HR"/>
          </w:rPr>
          <w:t>)</w:t>
        </w:r>
      </w:hyperlink>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noProof/>
          <w:color w:val="000000"/>
          <w:szCs w:val="24"/>
          <w:lang w:eastAsia="hr-HR"/>
        </w:rPr>
        <w:drawing>
          <wp:inline distT="0" distB="0" distL="0" distR="0">
            <wp:extent cx="5276850" cy="2619375"/>
            <wp:effectExtent l="0" t="0" r="0" b="9525"/>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276850" cy="2619375"/>
                    </a:xfrm>
                    <a:prstGeom prst="rect">
                      <a:avLst/>
                    </a:prstGeom>
                    <a:noFill/>
                    <a:ln>
                      <a:noFill/>
                    </a:ln>
                  </pic:spPr>
                </pic:pic>
              </a:graphicData>
            </a:graphic>
          </wp:inline>
        </w:drawing>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Ispitne metode</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Ocjenjivanje otpada u pogledu oznake HP 11 potrebno je provesti na temelju:</w:t>
      </w:r>
    </w:p>
    <w:tbl>
      <w:tblPr>
        <w:tblW w:w="5000" w:type="pct"/>
        <w:tblCellSpacing w:w="0" w:type="dxa"/>
        <w:tblCellMar>
          <w:left w:w="0" w:type="dxa"/>
          <w:right w:w="0" w:type="dxa"/>
        </w:tblCellMar>
        <w:tblLook w:val="04A0" w:firstRow="1" w:lastRow="0" w:firstColumn="1" w:lastColumn="0" w:noHBand="0" w:noVBand="1"/>
      </w:tblPr>
      <w:tblGrid>
        <w:gridCol w:w="533"/>
        <w:gridCol w:w="8539"/>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utvrđivanja pojedinačnih tvari u otpadu,</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860"/>
        <w:gridCol w:w="821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njihova razvrstavanja te</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439"/>
        <w:gridCol w:w="8633"/>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upućivanja na granične vrijednosti koncentracija.</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Ako se za određivanje ovog svojstva opasnosti razmatra ispitivanje, otpad koji sadržava tvari navedene u tablici 19. potrebno je ocijeniti u pogledu svojstava mutagenosti u skladu sa Smjernicama ECHA-e za CLP.</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dijelu B Priloga Uredbi o ispitnim metodama navode se sljedeće in vitro ispitne metode koje se mogu razmotriti za ocjenjivanje u pogledu oznake HP 11 „Mutageno”:</w:t>
      </w:r>
    </w:p>
    <w:tbl>
      <w:tblPr>
        <w:tblW w:w="5000" w:type="pct"/>
        <w:tblCellSpacing w:w="0" w:type="dxa"/>
        <w:tblCellMar>
          <w:left w:w="0" w:type="dxa"/>
          <w:right w:w="0" w:type="dxa"/>
        </w:tblCellMar>
        <w:tblLook w:val="04A0" w:firstRow="1" w:lastRow="0" w:firstColumn="1" w:lastColumn="0" w:noHBand="0" w:noVBand="1"/>
      </w:tblPr>
      <w:tblGrid>
        <w:gridCol w:w="257"/>
        <w:gridCol w:w="8815"/>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B.10. Mutagenost – In vitro test za dokazivanje kromosomskih aberacija kod sisavaca</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72"/>
        <w:gridCol w:w="8800"/>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lastRenderedPageBreak/>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B.13./14. Mutagenost: Test za detekciju povratnih mutacija pomoću bakterija</w:t>
            </w:r>
            <w:hyperlink r:id="rId203" w:anchor="ntr31-C_2018124HR.01008701-E0031"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31</w:t>
              </w:r>
              <w:r w:rsidRPr="005203CE">
                <w:rPr>
                  <w:rFonts w:ascii="inherit" w:eastAsia="Times New Roman" w:hAnsi="inherit" w:cs="Times New Roman"/>
                  <w:color w:val="0000FF"/>
                  <w:szCs w:val="24"/>
                  <w:u w:val="single"/>
                  <w:lang w:eastAsia="hr-HR"/>
                </w:rPr>
                <w:t>)</w:t>
              </w:r>
            </w:hyperlink>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B.15. Ispitivanje mutagenosti i probirni test na genske mutacije koje ukazuju na karcinogenost – Saccharomyces Cerevisiae</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331"/>
        <w:gridCol w:w="8741"/>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B.17. Mutagenost – In vitro test genskih mutacija stanica sisavaca</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Nisu prikladne ispitne metode navedene u Uredbi o ispitnim metodama koje se temelje na ispitivanju na životinjama.</w:t>
      </w:r>
      <w:hyperlink r:id="rId204" w:anchor="ntr32-C_2018124HR.01008701-E0032"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32</w:t>
        </w:r>
        <w:r w:rsidRPr="005203CE">
          <w:rPr>
            <w:rFonts w:ascii="inherit" w:eastAsia="Times New Roman" w:hAnsi="inherit" w:cs="Times New Roman"/>
            <w:color w:val="0000FF"/>
            <w:szCs w:val="24"/>
            <w:u w:val="single"/>
            <w:lang w:eastAsia="hr-HR"/>
          </w:rPr>
          <w:t>)</w:t>
        </w:r>
      </w:hyperlink>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3.12.    </w:t>
      </w:r>
      <w:r w:rsidRPr="005203CE">
        <w:rPr>
          <w:rFonts w:ascii="inherit" w:eastAsia="Times New Roman" w:hAnsi="inherit" w:cs="Times New Roman"/>
          <w:b/>
          <w:bCs/>
          <w:i/>
          <w:iCs/>
          <w:color w:val="000000"/>
          <w:szCs w:val="24"/>
          <w:lang w:eastAsia="hr-HR"/>
        </w:rPr>
        <w:t>Određivanje oznake HP 12: Oslobađanje akutno toksičnih plinova</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Definicija i daljnji opis iz Priloga III. ODO-u</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Prilogu III. ODO-u oznaka HP 12 „Oslobađanje akutno toksičnih plinova” definira se kao:</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„otpad koji u dodiru s vodom ili kiselinom oslobađa akutno toksične plinove (akutna toks. 1, 2 ili 3).”</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ODO-u se dalje objašnjava: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„Kad otpad sadržava tvar koja je dodijeljena jednoj od sljedećih dopunskih oznaka upozorenja – EUH029, EUH031 i EUH032, klasificira se kao opasan oznakom HP 12 u skladu s ispitnim metodama ili smjernicama.”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Otpad koji sadržava tvari kojima su dodijeljene oznake EUH029, EUH031 i EUH032 može se ispitati kako bi se pokazalo sadržava li opasna svojstva. Osim toga, za otpad koji sadržava te tvari može se jednostavno pretpostaviti da je opasan prema oznaci HP 12.</w:t>
      </w:r>
    </w:p>
    <w:p w:rsidR="005203CE" w:rsidRPr="005203CE" w:rsidRDefault="005203CE" w:rsidP="005203CE">
      <w:pPr>
        <w:spacing w:before="120" w:after="120" w:line="240" w:lineRule="auto"/>
        <w:jc w:val="center"/>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Tablica 20.</w:t>
      </w:r>
    </w:p>
    <w:p w:rsidR="005203CE" w:rsidRPr="005203CE" w:rsidRDefault="005203CE" w:rsidP="005203CE">
      <w:pPr>
        <w:spacing w:before="120" w:after="120" w:line="240" w:lineRule="auto"/>
        <w:jc w:val="center"/>
        <w:rPr>
          <w:rFonts w:ascii="inherit" w:eastAsia="Times New Roman" w:hAnsi="inherit" w:cs="Times New Roman"/>
          <w:color w:val="000000"/>
          <w:szCs w:val="24"/>
          <w:lang w:eastAsia="hr-HR"/>
        </w:rPr>
      </w:pPr>
      <w:r w:rsidRPr="005203CE">
        <w:rPr>
          <w:rFonts w:ascii="inherit" w:eastAsia="Times New Roman" w:hAnsi="inherit" w:cs="Times New Roman"/>
          <w:b/>
          <w:bCs/>
          <w:color w:val="000000"/>
          <w:szCs w:val="24"/>
          <w:lang w:eastAsia="hr-HR"/>
        </w:rPr>
        <w:t>Oznake upozorenja i dopunske oznake upozorenja za sastojke otpada radi njegova razvrstavanja kao opasnog oznakom HP 12</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617"/>
        <w:gridCol w:w="1439"/>
      </w:tblGrid>
      <w:tr w:rsidR="005203CE" w:rsidRPr="005203CE" w:rsidTr="005203CE">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Oznake upozorenja/dopunske oznake upozorenja</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U dodiru s vodom oslobađa toksični plin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EUH029</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U dodiru s kiselinama oslobađa toksični plin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EUH031</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U dodiru s kiselinama oslobađa vrlo otrovni plin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EUH032</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Na slici 17. prikazan je postupak određivanja za HP 12.</w:t>
      </w:r>
      <w:hyperlink r:id="rId205" w:anchor="ntr33-C_2018124HR.01008701-E0033"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33</w:t>
        </w:r>
        <w:r w:rsidRPr="005203CE">
          <w:rPr>
            <w:rFonts w:ascii="inherit" w:eastAsia="Times New Roman" w:hAnsi="inherit" w:cs="Times New Roman"/>
            <w:color w:val="0000FF"/>
            <w:szCs w:val="24"/>
            <w:u w:val="single"/>
            <w:lang w:eastAsia="hr-HR"/>
          </w:rPr>
          <w:t>)</w:t>
        </w:r>
      </w:hyperlink>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noProof/>
          <w:color w:val="000000"/>
          <w:szCs w:val="24"/>
          <w:lang w:eastAsia="hr-HR"/>
        </w:rPr>
        <w:lastRenderedPageBreak/>
        <w:drawing>
          <wp:inline distT="0" distB="0" distL="0" distR="0">
            <wp:extent cx="5619750" cy="4629150"/>
            <wp:effectExtent l="0" t="0" r="0" b="0"/>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619750" cy="4629150"/>
                    </a:xfrm>
                    <a:prstGeom prst="rect">
                      <a:avLst/>
                    </a:prstGeom>
                    <a:noFill/>
                    <a:ln>
                      <a:noFill/>
                    </a:ln>
                  </pic:spPr>
                </pic:pic>
              </a:graphicData>
            </a:graphic>
          </wp:inline>
        </w:drawing>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Metoda izračuna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Detaljan primjer moguće metode izračuna za oznaku HP 12 preuzet je iz Smjernica Ujedinjene Kraljevine i prikazan u nastavku.</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Tvari se dodjeljuje oznaka EUH029, EUH031 ili EUH032 ako nakon dodavanja vode ili kiseline može oslobađati akutni toksični plin</w:t>
      </w:r>
      <w:hyperlink r:id="rId207" w:anchor="ntr34-C_2018124HR.01008701-E0034"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34</w:t>
        </w:r>
        <w:r w:rsidRPr="005203CE">
          <w:rPr>
            <w:rFonts w:ascii="inherit" w:eastAsia="Times New Roman" w:hAnsi="inherit" w:cs="Times New Roman"/>
            <w:color w:val="0000FF"/>
            <w:szCs w:val="24"/>
            <w:u w:val="single"/>
            <w:lang w:eastAsia="hr-HR"/>
          </w:rPr>
          <w:t>)</w:t>
        </w:r>
      </w:hyperlink>
      <w:r w:rsidRPr="005203CE">
        <w:rPr>
          <w:rFonts w:ascii="inherit" w:eastAsia="Times New Roman" w:hAnsi="inherit" w:cs="Times New Roman"/>
          <w:color w:val="000000"/>
          <w:szCs w:val="24"/>
          <w:lang w:eastAsia="hr-HR"/>
        </w:rPr>
        <w:t>.</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Ako otpad sadržava tvar kojoj je dodijeljena oznaka EUH029, EUH031 ili EUH032, moguće je izračunati graničnu vrijednost tvari u otpadu na temelju koje bi bio razvrstan kao opasan oznakom HP 12. Primjer izračuna prikazan je u okviru 4.</w:t>
      </w:r>
      <w:hyperlink r:id="rId208" w:anchor="ntr35-C_2018124HR.01008701-E0035"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35</w:t>
        </w:r>
        <w:r w:rsidRPr="005203CE">
          <w:rPr>
            <w:rFonts w:ascii="inherit" w:eastAsia="Times New Roman" w:hAnsi="inherit" w:cs="Times New Roman"/>
            <w:color w:val="0000FF"/>
            <w:szCs w:val="24"/>
            <w:u w:val="single"/>
            <w:lang w:eastAsia="hr-HR"/>
          </w:rPr>
          <w:t>)</w:t>
        </w:r>
      </w:hyperlink>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5203CE" w:rsidRPr="005203CE" w:rsidTr="005203CE">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203CE" w:rsidRPr="005203CE" w:rsidRDefault="005203CE" w:rsidP="005203CE">
            <w:pPr>
              <w:spacing w:before="240" w:after="120" w:line="240" w:lineRule="auto"/>
              <w:jc w:val="both"/>
              <w:rPr>
                <w:rFonts w:ascii="inherit" w:eastAsia="Times New Roman" w:hAnsi="inherit" w:cs="Times New Roman"/>
                <w:b/>
                <w:bCs/>
                <w:szCs w:val="24"/>
                <w:lang w:eastAsia="hr-HR"/>
              </w:rPr>
            </w:pPr>
            <w:r w:rsidRPr="005203CE">
              <w:rPr>
                <w:rFonts w:ascii="inherit" w:eastAsia="Times New Roman" w:hAnsi="inherit" w:cs="Times New Roman"/>
                <w:b/>
                <w:bCs/>
                <w:szCs w:val="24"/>
                <w:lang w:eastAsia="hr-HR"/>
              </w:rPr>
              <w:t>Metoda izračuna za oznaku HP 12</w:t>
            </w:r>
          </w:p>
          <w:tbl>
            <w:tblPr>
              <w:tblW w:w="5000" w:type="pct"/>
              <w:tblCellSpacing w:w="0" w:type="dxa"/>
              <w:tblCellMar>
                <w:left w:w="0" w:type="dxa"/>
                <w:right w:w="0" w:type="dxa"/>
              </w:tblCellMar>
              <w:tblLook w:val="04A0" w:firstRow="1" w:lastRow="0" w:firstColumn="1" w:lastColumn="0" w:noHBand="0" w:noVBand="1"/>
            </w:tblPr>
            <w:tblGrid>
              <w:gridCol w:w="6"/>
              <w:gridCol w:w="180"/>
              <w:gridCol w:w="8540"/>
            </w:tblGrid>
            <w:tr w:rsidR="005203CE" w:rsidRPr="005203CE">
              <w:trPr>
                <w:tblCellSpacing w:w="0" w:type="dxa"/>
              </w:trPr>
              <w:tc>
                <w:tcPr>
                  <w:tcW w:w="0" w:type="auto"/>
                  <w:hideMark/>
                </w:tcPr>
                <w:p w:rsidR="005203CE" w:rsidRPr="005203CE" w:rsidRDefault="005203CE" w:rsidP="005203CE">
                  <w:pPr>
                    <w:spacing w:after="0" w:line="240" w:lineRule="auto"/>
                    <w:rPr>
                      <w:rFonts w:ascii="inherit" w:eastAsia="Times New Roman" w:hAnsi="inherit" w:cs="Times New Roman"/>
                      <w:b/>
                      <w:bCs/>
                      <w:szCs w:val="24"/>
                      <w:lang w:eastAsia="hr-HR"/>
                    </w:rPr>
                  </w:pP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1.</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Napišite uravnoteženu jednadžbu za reakciju kojom se oslobađa plin. Opći oblik jednadžbe jest:</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273"/>
                    <w:gridCol w:w="789"/>
                    <w:gridCol w:w="2022"/>
                    <w:gridCol w:w="789"/>
                    <w:gridCol w:w="1339"/>
                    <w:gridCol w:w="789"/>
                    <w:gridCol w:w="1523"/>
                  </w:tblGrid>
                  <w:tr w:rsidR="005203CE" w:rsidRP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rR</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wW</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pP</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gG</w:t>
                        </w:r>
                      </w:p>
                    </w:tc>
                  </w:tr>
                </w:tbl>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pri čemu je R tvar s oznakom EUH029, EUH031 ili EUH032, W je voda ili kiselina, P je produkt reakcije, a G je oslobođeni plin; r, w, p i g su stehiometrijski omjeri koji jednadžbi daju ravnotežu.</w:t>
                  </w:r>
                </w:p>
              </w:tc>
            </w:tr>
          </w:tbl>
          <w:p w:rsidR="005203CE" w:rsidRPr="005203CE" w:rsidRDefault="005203CE" w:rsidP="005203CE">
            <w:pPr>
              <w:spacing w:after="0" w:line="240" w:lineRule="auto"/>
              <w:rPr>
                <w:rFonts w:ascii="inherit" w:eastAsia="Times New Roman" w:hAnsi="inherit"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7"/>
              <w:gridCol w:w="213"/>
              <w:gridCol w:w="8506"/>
            </w:tblGrid>
            <w:tr w:rsidR="005203CE" w:rsidRPr="005203CE">
              <w:trPr>
                <w:tblCellSpacing w:w="0" w:type="dxa"/>
              </w:trPr>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2.</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Tvarima u jednadžbi dodijelite molekularne mase i stehiometrijske omjere.</w:t>
                  </w:r>
                </w:p>
              </w:tc>
            </w:tr>
          </w:tbl>
          <w:p w:rsidR="005203CE" w:rsidRPr="005203CE" w:rsidRDefault="005203CE" w:rsidP="005203CE">
            <w:pPr>
              <w:spacing w:after="0" w:line="240" w:lineRule="auto"/>
              <w:rPr>
                <w:rFonts w:ascii="inherit" w:eastAsia="Times New Roman" w:hAnsi="inherit"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6"/>
              <w:gridCol w:w="180"/>
              <w:gridCol w:w="8540"/>
            </w:tblGrid>
            <w:tr w:rsidR="005203CE" w:rsidRPr="005203CE">
              <w:trPr>
                <w:tblCellSpacing w:w="0" w:type="dxa"/>
              </w:trPr>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3.</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Podijelite (r × molarna masa za R) sa (g × 22,4). Time se dobiva masa za R potrebna za ispuštanje 1 litre plina. 1 mol plina sadržava 22,4 litre pri standardnoj temperaturi i tlaku.</w:t>
                  </w:r>
                </w:p>
              </w:tc>
            </w:tr>
          </w:tbl>
          <w:p w:rsidR="005203CE" w:rsidRPr="005203CE" w:rsidRDefault="005203CE" w:rsidP="005203CE">
            <w:pPr>
              <w:spacing w:after="0" w:line="240" w:lineRule="auto"/>
              <w:rPr>
                <w:rFonts w:ascii="inherit" w:eastAsia="Times New Roman" w:hAnsi="inherit"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6"/>
              <w:gridCol w:w="180"/>
              <w:gridCol w:w="8540"/>
            </w:tblGrid>
            <w:tr w:rsidR="005203CE" w:rsidRPr="005203CE">
              <w:trPr>
                <w:tblCellSpacing w:w="0" w:type="dxa"/>
              </w:trPr>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4.</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Taj iznos (u gramima) podijelite s 1 000 (za pretvaranje u kilograme) i pomnožite sa 100 kako biste dobili maseni udio te time granične vrijednosti koncentracije za HP 12 tvari R.</w:t>
                  </w:r>
                </w:p>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Primjer izračuna: Otpad sadržava aluminijev nitrid (AlN). Aluminijev nitrid je tvar s oznakom EUH029 koja reagira u dodiru s vodom i nastaje plin amonijak.</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472"/>
                    <w:gridCol w:w="255"/>
                    <w:gridCol w:w="835"/>
                    <w:gridCol w:w="255"/>
                    <w:gridCol w:w="3056"/>
                    <w:gridCol w:w="255"/>
                    <w:gridCol w:w="1396"/>
                  </w:tblGrid>
                  <w:tr w:rsidR="005203CE" w:rsidRP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AlN</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3H</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O</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Al(OH)</w:t>
                        </w:r>
                        <w:r w:rsidRPr="005203CE">
                          <w:rPr>
                            <w:rFonts w:ascii="inherit" w:eastAsia="Times New Roman" w:hAnsi="inherit" w:cs="Times New Roman"/>
                            <w:sz w:val="15"/>
                            <w:szCs w:val="15"/>
                            <w:vertAlign w:val="subscript"/>
                            <w:lang w:eastAsia="hr-HR"/>
                          </w:rPr>
                          <w:t>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NH</w:t>
                        </w:r>
                        <w:r w:rsidRPr="005203CE">
                          <w:rPr>
                            <w:rFonts w:ascii="inherit" w:eastAsia="Times New Roman" w:hAnsi="inherit" w:cs="Times New Roman"/>
                            <w:sz w:val="15"/>
                            <w:szCs w:val="15"/>
                            <w:vertAlign w:val="subscript"/>
                            <w:lang w:eastAsia="hr-HR"/>
                          </w:rPr>
                          <w:t>3</w:t>
                        </w:r>
                      </w:p>
                    </w:tc>
                  </w:tr>
                  <w:tr w:rsidR="005203CE" w:rsidRP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aluminijev nitrid</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voda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aluminijev hidroksid</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 </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amonijak</w:t>
                        </w:r>
                      </w:p>
                    </w:tc>
                  </w:tr>
                </w:tbl>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r = 1 mol AlN, R = 41 g; g = 1 mol NH</w:t>
                  </w:r>
                  <w:r w:rsidRPr="005203CE">
                    <w:rPr>
                      <w:rFonts w:ascii="inherit" w:eastAsia="Times New Roman" w:hAnsi="inherit" w:cs="Times New Roman"/>
                      <w:sz w:val="17"/>
                      <w:szCs w:val="17"/>
                      <w:vertAlign w:val="subscript"/>
                      <w:lang w:eastAsia="hr-HR"/>
                    </w:rPr>
                    <w:t>3</w:t>
                  </w:r>
                  <w:r w:rsidRPr="005203CE">
                    <w:rPr>
                      <w:rFonts w:ascii="inherit" w:eastAsia="Times New Roman" w:hAnsi="inherit" w:cs="Times New Roman"/>
                      <w:szCs w:val="24"/>
                      <w:lang w:eastAsia="hr-HR"/>
                    </w:rPr>
                    <w:t>.</w:t>
                  </w:r>
                </w:p>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Granična vrijednost aluminijeva nitrida u otpadu jest ((1 × 41) / (1 × 22,4) / 1 000) × 100, što iznosi 0,18 % (otprilike 0,2 %).</w:t>
                  </w:r>
                </w:p>
              </w:tc>
            </w:tr>
          </w:tbl>
          <w:p w:rsidR="005203CE" w:rsidRPr="005203CE" w:rsidRDefault="005203CE" w:rsidP="005203CE">
            <w:pPr>
              <w:spacing w:after="0" w:line="240" w:lineRule="auto"/>
              <w:rPr>
                <w:rFonts w:ascii="inherit" w:eastAsia="Times New Roman" w:hAnsi="inherit" w:cs="Times New Roman"/>
                <w:szCs w:val="24"/>
                <w:lang w:eastAsia="hr-HR"/>
              </w:rPr>
            </w:pP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790"/>
        <w:gridCol w:w="728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i/>
                <w:iCs/>
                <w:szCs w:val="24"/>
                <w:lang w:eastAsia="hr-HR"/>
              </w:rPr>
              <w:t>Okvir 4.:</w:t>
            </w:r>
          </w:p>
        </w:tc>
        <w:tc>
          <w:tcPr>
            <w:tcW w:w="0" w:type="auto"/>
            <w:hideMark/>
          </w:tcPr>
          <w:p w:rsidR="005203CE" w:rsidRPr="005203CE" w:rsidRDefault="005203CE" w:rsidP="005203CE">
            <w:pPr>
              <w:spacing w:after="0" w:line="240" w:lineRule="auto"/>
              <w:rPr>
                <w:rFonts w:ascii="inherit" w:eastAsia="Times New Roman" w:hAnsi="inherit" w:cs="Times New Roman"/>
                <w:szCs w:val="24"/>
                <w:lang w:eastAsia="hr-HR"/>
              </w:rPr>
            </w:pPr>
            <w:r w:rsidRPr="005203CE">
              <w:rPr>
                <w:rFonts w:ascii="inherit" w:eastAsia="Times New Roman" w:hAnsi="inherit" w:cs="Times New Roman"/>
                <w:b/>
                <w:bCs/>
                <w:szCs w:val="24"/>
                <w:lang w:eastAsia="hr-HR"/>
              </w:rPr>
              <w:t>Metoda izračuna za oznaku HP 12</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Granične vrijednosti dobivene izračunom za određene tvari s oznakama EUH029, EUH031 ili EUH032 prikazane su u tablici 21.</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i/>
          <w:iCs/>
          <w:color w:val="000000"/>
          <w:szCs w:val="24"/>
          <w:lang w:eastAsia="hr-HR"/>
        </w:rPr>
        <w:t>Tablica 21.</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Primjeri tvari zbog kojih otpad može pokazivati svojstvo HP 12 i njihove granične vrijednosti koncentracija </w:t>
      </w:r>
      <w:hyperlink r:id="rId209" w:anchor="ntr36-C_2018124HR.01008701-E0036" w:history="1">
        <w:r w:rsidRPr="005203CE">
          <w:rPr>
            <w:rFonts w:ascii="inherit" w:eastAsia="Times New Roman" w:hAnsi="inherit" w:cs="Times New Roman"/>
            <w:b/>
            <w:bCs/>
            <w:color w:val="0000FF"/>
            <w:szCs w:val="24"/>
            <w:u w:val="single"/>
            <w:lang w:eastAsia="hr-HR"/>
          </w:rPr>
          <w:t> (</w:t>
        </w:r>
        <w:r w:rsidRPr="005203CE">
          <w:rPr>
            <w:rFonts w:ascii="inherit" w:eastAsia="Times New Roman" w:hAnsi="inherit" w:cs="Times New Roman"/>
            <w:b/>
            <w:bCs/>
            <w:color w:val="0000FF"/>
            <w:sz w:val="17"/>
            <w:szCs w:val="17"/>
            <w:u w:val="single"/>
            <w:vertAlign w:val="superscript"/>
            <w:lang w:eastAsia="hr-HR"/>
          </w:rPr>
          <w:t>36</w:t>
        </w:r>
        <w:r w:rsidRPr="005203CE">
          <w:rPr>
            <w:rFonts w:ascii="inherit" w:eastAsia="Times New Roman" w:hAnsi="inherit" w:cs="Times New Roman"/>
            <w:b/>
            <w:bCs/>
            <w:color w:val="0000FF"/>
            <w:szCs w:val="24"/>
            <w:u w:val="single"/>
            <w:lang w:eastAsia="hr-HR"/>
          </w:rPr>
          <w:t>)</w:t>
        </w:r>
      </w:hyperlink>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052"/>
        <w:gridCol w:w="1499"/>
        <w:gridCol w:w="2398"/>
        <w:gridCol w:w="2107"/>
      </w:tblGrid>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Naziv tvari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Šifre oznaka upozorenja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Jednadžba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Granične vrijednosti u otpadu potrebne za oznaku HP 12 (%)</w:t>
            </w:r>
            <w:hyperlink r:id="rId210" w:anchor="ntr37-C_2018124HR.01008701-E0037" w:history="1">
              <w:r w:rsidRPr="005203CE">
                <w:rPr>
                  <w:rFonts w:ascii="inherit" w:eastAsia="Times New Roman" w:hAnsi="inherit" w:cs="Times New Roman"/>
                  <w:b/>
                  <w:bCs/>
                  <w:color w:val="0000FF"/>
                  <w:sz w:val="22"/>
                  <w:szCs w:val="22"/>
                  <w:u w:val="single"/>
                  <w:lang w:eastAsia="hr-HR"/>
                </w:rPr>
                <w:t> (</w:t>
              </w:r>
              <w:r w:rsidRPr="005203CE">
                <w:rPr>
                  <w:rFonts w:ascii="inherit" w:eastAsia="Times New Roman" w:hAnsi="inherit" w:cs="Times New Roman"/>
                  <w:b/>
                  <w:bCs/>
                  <w:color w:val="0000FF"/>
                  <w:sz w:val="15"/>
                  <w:szCs w:val="15"/>
                  <w:u w:val="single"/>
                  <w:vertAlign w:val="superscript"/>
                  <w:lang w:eastAsia="hr-HR"/>
                </w:rPr>
                <w:t>37</w:t>
              </w:r>
              <w:r w:rsidRPr="005203CE">
                <w:rPr>
                  <w:rFonts w:ascii="inherit" w:eastAsia="Times New Roman" w:hAnsi="inherit" w:cs="Times New Roman"/>
                  <w:b/>
                  <w:bCs/>
                  <w:color w:val="0000FF"/>
                  <w:sz w:val="22"/>
                  <w:szCs w:val="22"/>
                  <w:u w:val="single"/>
                  <w:lang w:eastAsia="hr-HR"/>
                </w:rPr>
                <w:t>)</w:t>
              </w:r>
            </w:hyperlink>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Fosfor pentasulfid</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EUH029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P</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S</w:t>
            </w:r>
            <w:r w:rsidRPr="005203CE">
              <w:rPr>
                <w:rFonts w:ascii="inherit" w:eastAsia="Times New Roman" w:hAnsi="inherit" w:cs="Times New Roman"/>
                <w:sz w:val="15"/>
                <w:szCs w:val="15"/>
                <w:vertAlign w:val="subscript"/>
                <w:lang w:eastAsia="hr-HR"/>
              </w:rPr>
              <w:t>5</w:t>
            </w:r>
            <w:r w:rsidRPr="005203CE">
              <w:rPr>
                <w:rFonts w:ascii="inherit" w:eastAsia="Times New Roman" w:hAnsi="inherit" w:cs="Times New Roman"/>
                <w:sz w:val="22"/>
                <w:szCs w:val="22"/>
                <w:lang w:eastAsia="hr-HR"/>
              </w:rPr>
              <w:t> + 8H</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O → 5H</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S + 2H</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PO</w:t>
            </w:r>
            <w:r w:rsidRPr="005203CE">
              <w:rPr>
                <w:rFonts w:ascii="inherit" w:eastAsia="Times New Roman" w:hAnsi="inherit" w:cs="Times New Roman"/>
                <w:sz w:val="15"/>
                <w:szCs w:val="15"/>
                <w:vertAlign w:val="subscript"/>
                <w:lang w:eastAsia="hr-HR"/>
              </w:rPr>
              <w:t>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0,1</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3,5-dikloro-2,4-difluoro-benzoil fluorid (DCDFBF)</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EUH029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DCDFBF + H</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O → HF + Prod.</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metam-natrij</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EUH031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CH</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NHCS</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Na + H</w:t>
            </w:r>
            <w:r w:rsidRPr="005203CE">
              <w:rPr>
                <w:rFonts w:ascii="inherit" w:eastAsia="Times New Roman" w:hAnsi="inherit" w:cs="Times New Roman"/>
                <w:sz w:val="15"/>
                <w:szCs w:val="15"/>
                <w:vertAlign w:val="superscript"/>
                <w:lang w:eastAsia="hr-HR"/>
              </w:rPr>
              <w:t>+</w:t>
            </w:r>
            <w:r w:rsidRPr="005203CE">
              <w:rPr>
                <w:rFonts w:ascii="inherit" w:eastAsia="Times New Roman" w:hAnsi="inherit" w:cs="Times New Roman"/>
                <w:sz w:val="22"/>
                <w:szCs w:val="22"/>
                <w:lang w:eastAsia="hr-HR"/>
              </w:rPr>
              <w:t> → CH</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NH</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 + CS</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 + Na</w:t>
            </w:r>
            <w:r w:rsidRPr="005203CE">
              <w:rPr>
                <w:rFonts w:ascii="inherit" w:eastAsia="Times New Roman" w:hAnsi="inherit" w:cs="Times New Roman"/>
                <w:sz w:val="15"/>
                <w:szCs w:val="15"/>
                <w:vertAlign w:val="superscript"/>
                <w:lang w:eastAsia="hr-HR"/>
              </w:rPr>
              <w:t>+</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0,5</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Barijev sulfid</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EUH031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BaS + 2H</w:t>
            </w:r>
            <w:r w:rsidRPr="005203CE">
              <w:rPr>
                <w:rFonts w:ascii="inherit" w:eastAsia="Times New Roman" w:hAnsi="inherit" w:cs="Times New Roman"/>
                <w:sz w:val="15"/>
                <w:szCs w:val="15"/>
                <w:vertAlign w:val="superscript"/>
                <w:lang w:eastAsia="hr-HR"/>
              </w:rPr>
              <w:t>+</w:t>
            </w:r>
            <w:r w:rsidRPr="005203CE">
              <w:rPr>
                <w:rFonts w:ascii="inherit" w:eastAsia="Times New Roman" w:hAnsi="inherit" w:cs="Times New Roman"/>
                <w:sz w:val="22"/>
                <w:szCs w:val="22"/>
                <w:lang w:eastAsia="hr-HR"/>
              </w:rPr>
              <w:t> → H</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S + Ba</w:t>
            </w:r>
            <w:r w:rsidRPr="005203CE">
              <w:rPr>
                <w:rFonts w:ascii="inherit" w:eastAsia="Times New Roman" w:hAnsi="inherit" w:cs="Times New Roman"/>
                <w:sz w:val="15"/>
                <w:szCs w:val="15"/>
                <w:vertAlign w:val="superscript"/>
                <w:lang w:eastAsia="hr-HR"/>
              </w:rPr>
              <w:t>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0,8</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Barijevi polisulfidi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EUH031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BaS</w:t>
            </w:r>
            <w:r w:rsidRPr="005203CE">
              <w:rPr>
                <w:rFonts w:ascii="inherit" w:eastAsia="Times New Roman" w:hAnsi="inherit" w:cs="Times New Roman"/>
                <w:sz w:val="15"/>
                <w:szCs w:val="15"/>
                <w:vertAlign w:val="subscript"/>
                <w:lang w:eastAsia="hr-HR"/>
              </w:rPr>
              <w:t>n</w:t>
            </w:r>
            <w:r w:rsidRPr="005203CE">
              <w:rPr>
                <w:rFonts w:ascii="inherit" w:eastAsia="Times New Roman" w:hAnsi="inherit" w:cs="Times New Roman"/>
                <w:sz w:val="22"/>
                <w:szCs w:val="22"/>
                <w:lang w:eastAsia="hr-HR"/>
              </w:rPr>
              <w:t> + 2H</w:t>
            </w:r>
            <w:r w:rsidRPr="005203CE">
              <w:rPr>
                <w:rFonts w:ascii="inherit" w:eastAsia="Times New Roman" w:hAnsi="inherit" w:cs="Times New Roman"/>
                <w:sz w:val="15"/>
                <w:szCs w:val="15"/>
                <w:vertAlign w:val="superscript"/>
                <w:lang w:eastAsia="hr-HR"/>
              </w:rPr>
              <w:t>+</w:t>
            </w:r>
            <w:r w:rsidRPr="005203CE">
              <w:rPr>
                <w:rFonts w:ascii="inherit" w:eastAsia="Times New Roman" w:hAnsi="inherit" w:cs="Times New Roman"/>
                <w:sz w:val="22"/>
                <w:szCs w:val="22"/>
                <w:lang w:eastAsia="hr-HR"/>
              </w:rPr>
              <w:t> → H</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S + Ba</w:t>
            </w:r>
            <w:r w:rsidRPr="005203CE">
              <w:rPr>
                <w:rFonts w:ascii="inherit" w:eastAsia="Times New Roman" w:hAnsi="inherit" w:cs="Times New Roman"/>
                <w:sz w:val="15"/>
                <w:szCs w:val="15"/>
                <w:vertAlign w:val="superscript"/>
                <w:lang w:eastAsia="hr-HR"/>
              </w:rPr>
              <w:t>2+</w:t>
            </w:r>
            <w:r w:rsidRPr="005203CE">
              <w:rPr>
                <w:rFonts w:ascii="inherit" w:eastAsia="Times New Roman" w:hAnsi="inherit" w:cs="Times New Roman"/>
                <w:sz w:val="22"/>
                <w:szCs w:val="22"/>
                <w:lang w:eastAsia="hr-HR"/>
              </w:rPr>
              <w:t> + S</w:t>
            </w:r>
            <w:r w:rsidRPr="005203CE">
              <w:rPr>
                <w:rFonts w:ascii="inherit" w:eastAsia="Times New Roman" w:hAnsi="inherit" w:cs="Times New Roman"/>
                <w:sz w:val="15"/>
                <w:szCs w:val="15"/>
                <w:vertAlign w:val="subscript"/>
                <w:lang w:eastAsia="hr-HR"/>
              </w:rPr>
              <w:t>n-1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0,8</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Kalcijev sulfid</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EUH031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CaS + 2H</w:t>
            </w:r>
            <w:r w:rsidRPr="005203CE">
              <w:rPr>
                <w:rFonts w:ascii="inherit" w:eastAsia="Times New Roman" w:hAnsi="inherit" w:cs="Times New Roman"/>
                <w:sz w:val="15"/>
                <w:szCs w:val="15"/>
                <w:vertAlign w:val="superscript"/>
                <w:lang w:eastAsia="hr-HR"/>
              </w:rPr>
              <w:t>+</w:t>
            </w:r>
            <w:r w:rsidRPr="005203CE">
              <w:rPr>
                <w:rFonts w:ascii="inherit" w:eastAsia="Times New Roman" w:hAnsi="inherit" w:cs="Times New Roman"/>
                <w:sz w:val="22"/>
                <w:szCs w:val="22"/>
                <w:lang w:eastAsia="hr-HR"/>
              </w:rPr>
              <w:t> → H</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S + Ca</w:t>
            </w:r>
            <w:r w:rsidRPr="005203CE">
              <w:rPr>
                <w:rFonts w:ascii="inherit" w:eastAsia="Times New Roman" w:hAnsi="inherit" w:cs="Times New Roman"/>
                <w:sz w:val="15"/>
                <w:szCs w:val="15"/>
                <w:vertAlign w:val="superscript"/>
                <w:lang w:eastAsia="hr-HR"/>
              </w:rPr>
              <w:t>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0,3</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Kalcijevi polisulfidi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EUH031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CaS</w:t>
            </w:r>
            <w:r w:rsidRPr="005203CE">
              <w:rPr>
                <w:rFonts w:ascii="inherit" w:eastAsia="Times New Roman" w:hAnsi="inherit" w:cs="Times New Roman"/>
                <w:sz w:val="15"/>
                <w:szCs w:val="15"/>
                <w:vertAlign w:val="subscript"/>
                <w:lang w:eastAsia="hr-HR"/>
              </w:rPr>
              <w:t>n</w:t>
            </w:r>
            <w:r w:rsidRPr="005203CE">
              <w:rPr>
                <w:rFonts w:ascii="inherit" w:eastAsia="Times New Roman" w:hAnsi="inherit" w:cs="Times New Roman"/>
                <w:sz w:val="22"/>
                <w:szCs w:val="22"/>
                <w:lang w:eastAsia="hr-HR"/>
              </w:rPr>
              <w:t> + 2H</w:t>
            </w:r>
            <w:r w:rsidRPr="005203CE">
              <w:rPr>
                <w:rFonts w:ascii="inherit" w:eastAsia="Times New Roman" w:hAnsi="inherit" w:cs="Times New Roman"/>
                <w:sz w:val="15"/>
                <w:szCs w:val="15"/>
                <w:vertAlign w:val="superscript"/>
                <w:lang w:eastAsia="hr-HR"/>
              </w:rPr>
              <w:t>+</w:t>
            </w:r>
            <w:r w:rsidRPr="005203CE">
              <w:rPr>
                <w:rFonts w:ascii="inherit" w:eastAsia="Times New Roman" w:hAnsi="inherit" w:cs="Times New Roman"/>
                <w:sz w:val="22"/>
                <w:szCs w:val="22"/>
                <w:lang w:eastAsia="hr-HR"/>
              </w:rPr>
              <w:t> → H</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S + Ca</w:t>
            </w:r>
            <w:r w:rsidRPr="005203CE">
              <w:rPr>
                <w:rFonts w:ascii="inherit" w:eastAsia="Times New Roman" w:hAnsi="inherit" w:cs="Times New Roman"/>
                <w:sz w:val="15"/>
                <w:szCs w:val="15"/>
                <w:vertAlign w:val="superscript"/>
                <w:lang w:eastAsia="hr-HR"/>
              </w:rPr>
              <w:t>2+</w:t>
            </w:r>
            <w:r w:rsidRPr="005203CE">
              <w:rPr>
                <w:rFonts w:ascii="inherit" w:eastAsia="Times New Roman" w:hAnsi="inherit" w:cs="Times New Roman"/>
                <w:sz w:val="22"/>
                <w:szCs w:val="22"/>
                <w:lang w:eastAsia="hr-HR"/>
              </w:rPr>
              <w:t> + S</w:t>
            </w:r>
            <w:r w:rsidRPr="005203CE">
              <w:rPr>
                <w:rFonts w:ascii="inherit" w:eastAsia="Times New Roman" w:hAnsi="inherit" w:cs="Times New Roman"/>
                <w:sz w:val="15"/>
                <w:szCs w:val="15"/>
                <w:vertAlign w:val="subscript"/>
                <w:lang w:eastAsia="hr-HR"/>
              </w:rPr>
              <w:t>n-1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0,3</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Kalijev sulfid</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EUH031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S + 2H</w:t>
            </w:r>
            <w:r w:rsidRPr="005203CE">
              <w:rPr>
                <w:rFonts w:ascii="inherit" w:eastAsia="Times New Roman" w:hAnsi="inherit" w:cs="Times New Roman"/>
                <w:sz w:val="15"/>
                <w:szCs w:val="15"/>
                <w:vertAlign w:val="superscript"/>
                <w:lang w:eastAsia="hr-HR"/>
              </w:rPr>
              <w:t>+</w:t>
            </w:r>
            <w:r w:rsidRPr="005203CE">
              <w:rPr>
                <w:rFonts w:ascii="inherit" w:eastAsia="Times New Roman" w:hAnsi="inherit" w:cs="Times New Roman"/>
                <w:sz w:val="22"/>
                <w:szCs w:val="22"/>
                <w:lang w:eastAsia="hr-HR"/>
              </w:rPr>
              <w:t> → H</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S + 2K</w:t>
            </w:r>
            <w:r w:rsidRPr="005203CE">
              <w:rPr>
                <w:rFonts w:ascii="inherit" w:eastAsia="Times New Roman" w:hAnsi="inherit" w:cs="Times New Roman"/>
                <w:sz w:val="15"/>
                <w:szCs w:val="15"/>
                <w:vertAlign w:val="superscript"/>
                <w:lang w:eastAsia="hr-HR"/>
              </w:rPr>
              <w:t>+</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0,5</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lastRenderedPageBreak/>
              <w:t>Amonijevi polisulfidi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EUH031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(NH</w:t>
            </w:r>
            <w:r w:rsidRPr="005203CE">
              <w:rPr>
                <w:rFonts w:ascii="inherit" w:eastAsia="Times New Roman" w:hAnsi="inherit" w:cs="Times New Roman"/>
                <w:sz w:val="15"/>
                <w:szCs w:val="15"/>
                <w:vertAlign w:val="subscript"/>
                <w:lang w:eastAsia="hr-HR"/>
              </w:rPr>
              <w:t>4</w:t>
            </w:r>
            <w:r w:rsidRPr="005203CE">
              <w:rPr>
                <w:rFonts w:ascii="inherit" w:eastAsia="Times New Roman" w:hAnsi="inherit" w:cs="Times New Roman"/>
                <w:sz w:val="22"/>
                <w:szCs w:val="22"/>
                <w:lang w:eastAsia="hr-HR"/>
              </w:rPr>
              <w:t>)</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S</w:t>
            </w:r>
            <w:r w:rsidRPr="005203CE">
              <w:rPr>
                <w:rFonts w:ascii="inherit" w:eastAsia="Times New Roman" w:hAnsi="inherit" w:cs="Times New Roman"/>
                <w:sz w:val="15"/>
                <w:szCs w:val="15"/>
                <w:vertAlign w:val="subscript"/>
                <w:lang w:eastAsia="hr-HR"/>
              </w:rPr>
              <w:t>n</w:t>
            </w:r>
            <w:r w:rsidRPr="005203CE">
              <w:rPr>
                <w:rFonts w:ascii="inherit" w:eastAsia="Times New Roman" w:hAnsi="inherit" w:cs="Times New Roman"/>
                <w:sz w:val="22"/>
                <w:szCs w:val="22"/>
                <w:lang w:eastAsia="hr-HR"/>
              </w:rPr>
              <w:t> + 2H</w:t>
            </w:r>
            <w:r w:rsidRPr="005203CE">
              <w:rPr>
                <w:rFonts w:ascii="inherit" w:eastAsia="Times New Roman" w:hAnsi="inherit" w:cs="Times New Roman"/>
                <w:sz w:val="15"/>
                <w:szCs w:val="15"/>
                <w:vertAlign w:val="superscript"/>
                <w:lang w:eastAsia="hr-HR"/>
              </w:rPr>
              <w:t>+</w:t>
            </w:r>
            <w:r w:rsidRPr="005203CE">
              <w:rPr>
                <w:rFonts w:ascii="inherit" w:eastAsia="Times New Roman" w:hAnsi="inherit" w:cs="Times New Roman"/>
                <w:sz w:val="22"/>
                <w:szCs w:val="22"/>
                <w:lang w:eastAsia="hr-HR"/>
              </w:rPr>
              <w:t> → H</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S + 2NH</w:t>
            </w:r>
            <w:r w:rsidRPr="005203CE">
              <w:rPr>
                <w:rFonts w:ascii="inherit" w:eastAsia="Times New Roman" w:hAnsi="inherit" w:cs="Times New Roman"/>
                <w:sz w:val="15"/>
                <w:szCs w:val="15"/>
                <w:vertAlign w:val="subscript"/>
                <w:lang w:eastAsia="hr-HR"/>
              </w:rPr>
              <w:t>4</w:t>
            </w:r>
            <w:r w:rsidRPr="005203CE">
              <w:rPr>
                <w:rFonts w:ascii="inherit" w:eastAsia="Times New Roman" w:hAnsi="inherit" w:cs="Times New Roman"/>
                <w:sz w:val="22"/>
                <w:szCs w:val="22"/>
                <w:lang w:eastAsia="hr-HR"/>
              </w:rPr>
              <w:t> </w:t>
            </w:r>
            <w:r w:rsidRPr="005203CE">
              <w:rPr>
                <w:rFonts w:ascii="inherit" w:eastAsia="Times New Roman" w:hAnsi="inherit" w:cs="Times New Roman"/>
                <w:sz w:val="15"/>
                <w:szCs w:val="15"/>
                <w:vertAlign w:val="superscript"/>
                <w:lang w:eastAsia="hr-HR"/>
              </w:rPr>
              <w:t>+</w:t>
            </w:r>
            <w:r w:rsidRPr="005203CE">
              <w:rPr>
                <w:rFonts w:ascii="inherit" w:eastAsia="Times New Roman" w:hAnsi="inherit" w:cs="Times New Roman"/>
                <w:sz w:val="22"/>
                <w:szCs w:val="22"/>
                <w:lang w:eastAsia="hr-HR"/>
              </w:rPr>
              <w:t> + S</w:t>
            </w:r>
            <w:r w:rsidRPr="005203CE">
              <w:rPr>
                <w:rFonts w:ascii="inherit" w:eastAsia="Times New Roman" w:hAnsi="inherit" w:cs="Times New Roman"/>
                <w:sz w:val="15"/>
                <w:szCs w:val="15"/>
                <w:vertAlign w:val="subscript"/>
                <w:lang w:eastAsia="hr-HR"/>
              </w:rPr>
              <w:t>n-1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0,3</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Natrijev sulfid</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EUH031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Na</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S + 2H</w:t>
            </w:r>
            <w:r w:rsidRPr="005203CE">
              <w:rPr>
                <w:rFonts w:ascii="inherit" w:eastAsia="Times New Roman" w:hAnsi="inherit" w:cs="Times New Roman"/>
                <w:sz w:val="15"/>
                <w:szCs w:val="15"/>
                <w:vertAlign w:val="superscript"/>
                <w:lang w:eastAsia="hr-HR"/>
              </w:rPr>
              <w:t>+</w:t>
            </w:r>
            <w:r w:rsidRPr="005203CE">
              <w:rPr>
                <w:rFonts w:ascii="inherit" w:eastAsia="Times New Roman" w:hAnsi="inherit" w:cs="Times New Roman"/>
                <w:sz w:val="22"/>
                <w:szCs w:val="22"/>
                <w:lang w:eastAsia="hr-HR"/>
              </w:rPr>
              <w:t> → H</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S + 2Na</w:t>
            </w:r>
            <w:r w:rsidRPr="005203CE">
              <w:rPr>
                <w:rFonts w:ascii="inherit" w:eastAsia="Times New Roman" w:hAnsi="inherit" w:cs="Times New Roman"/>
                <w:sz w:val="15"/>
                <w:szCs w:val="15"/>
                <w:vertAlign w:val="superscript"/>
                <w:lang w:eastAsia="hr-HR"/>
              </w:rPr>
              <w:t>+</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0,4</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Natrijevi polisulfidi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EUH031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Na</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S</w:t>
            </w:r>
            <w:r w:rsidRPr="005203CE">
              <w:rPr>
                <w:rFonts w:ascii="inherit" w:eastAsia="Times New Roman" w:hAnsi="inherit" w:cs="Times New Roman"/>
                <w:sz w:val="15"/>
                <w:szCs w:val="15"/>
                <w:vertAlign w:val="subscript"/>
                <w:lang w:eastAsia="hr-HR"/>
              </w:rPr>
              <w:t>n</w:t>
            </w:r>
            <w:r w:rsidRPr="005203CE">
              <w:rPr>
                <w:rFonts w:ascii="inherit" w:eastAsia="Times New Roman" w:hAnsi="inherit" w:cs="Times New Roman"/>
                <w:sz w:val="22"/>
                <w:szCs w:val="22"/>
                <w:lang w:eastAsia="hr-HR"/>
              </w:rPr>
              <w:t> + 2H</w:t>
            </w:r>
            <w:r w:rsidRPr="005203CE">
              <w:rPr>
                <w:rFonts w:ascii="inherit" w:eastAsia="Times New Roman" w:hAnsi="inherit" w:cs="Times New Roman"/>
                <w:sz w:val="15"/>
                <w:szCs w:val="15"/>
                <w:vertAlign w:val="superscript"/>
                <w:lang w:eastAsia="hr-HR"/>
              </w:rPr>
              <w:t>+</w:t>
            </w:r>
            <w:r w:rsidRPr="005203CE">
              <w:rPr>
                <w:rFonts w:ascii="inherit" w:eastAsia="Times New Roman" w:hAnsi="inherit" w:cs="Times New Roman"/>
                <w:sz w:val="22"/>
                <w:szCs w:val="22"/>
                <w:lang w:eastAsia="hr-HR"/>
              </w:rPr>
              <w:t> → H</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S + 2Na</w:t>
            </w:r>
            <w:r w:rsidRPr="005203CE">
              <w:rPr>
                <w:rFonts w:ascii="inherit" w:eastAsia="Times New Roman" w:hAnsi="inherit" w:cs="Times New Roman"/>
                <w:sz w:val="15"/>
                <w:szCs w:val="15"/>
                <w:vertAlign w:val="superscript"/>
                <w:lang w:eastAsia="hr-HR"/>
              </w:rPr>
              <w:t>+</w:t>
            </w:r>
            <w:r w:rsidRPr="005203CE">
              <w:rPr>
                <w:rFonts w:ascii="inherit" w:eastAsia="Times New Roman" w:hAnsi="inherit" w:cs="Times New Roman"/>
                <w:sz w:val="22"/>
                <w:szCs w:val="22"/>
                <w:lang w:eastAsia="hr-HR"/>
              </w:rPr>
              <w:t> + S</w:t>
            </w:r>
            <w:r w:rsidRPr="005203CE">
              <w:rPr>
                <w:rFonts w:ascii="inherit" w:eastAsia="Times New Roman" w:hAnsi="inherit" w:cs="Times New Roman"/>
                <w:sz w:val="15"/>
                <w:szCs w:val="15"/>
                <w:vertAlign w:val="subscript"/>
                <w:lang w:eastAsia="hr-HR"/>
              </w:rPr>
              <w:t>n-1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0,4</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Natrijev ditionit</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EUH031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Na</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O</w:t>
            </w:r>
            <w:r w:rsidRPr="005203CE">
              <w:rPr>
                <w:rFonts w:ascii="inherit" w:eastAsia="Times New Roman" w:hAnsi="inherit" w:cs="Times New Roman"/>
                <w:sz w:val="15"/>
                <w:szCs w:val="15"/>
                <w:vertAlign w:val="subscript"/>
                <w:lang w:eastAsia="hr-HR"/>
              </w:rPr>
              <w:t>6</w:t>
            </w:r>
            <w:r w:rsidRPr="005203CE">
              <w:rPr>
                <w:rFonts w:ascii="inherit" w:eastAsia="Times New Roman" w:hAnsi="inherit" w:cs="Times New Roman"/>
                <w:sz w:val="22"/>
                <w:szCs w:val="22"/>
                <w:lang w:eastAsia="hr-HR"/>
              </w:rPr>
              <w:t>S</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 + 2H</w:t>
            </w:r>
            <w:r w:rsidRPr="005203CE">
              <w:rPr>
                <w:rFonts w:ascii="inherit" w:eastAsia="Times New Roman" w:hAnsi="inherit" w:cs="Times New Roman"/>
                <w:sz w:val="15"/>
                <w:szCs w:val="15"/>
                <w:vertAlign w:val="superscript"/>
                <w:lang w:eastAsia="hr-HR"/>
              </w:rPr>
              <w:t>+</w:t>
            </w:r>
            <w:r w:rsidRPr="005203CE">
              <w:rPr>
                <w:rFonts w:ascii="inherit" w:eastAsia="Times New Roman" w:hAnsi="inherit" w:cs="Times New Roman"/>
                <w:sz w:val="22"/>
                <w:szCs w:val="22"/>
                <w:lang w:eastAsia="hr-HR"/>
              </w:rPr>
              <w:t> → 2Na</w:t>
            </w:r>
            <w:r w:rsidRPr="005203CE">
              <w:rPr>
                <w:rFonts w:ascii="inherit" w:eastAsia="Times New Roman" w:hAnsi="inherit" w:cs="Times New Roman"/>
                <w:sz w:val="15"/>
                <w:szCs w:val="15"/>
                <w:vertAlign w:val="superscript"/>
                <w:lang w:eastAsia="hr-HR"/>
              </w:rPr>
              <w:t>+</w:t>
            </w:r>
            <w:r w:rsidRPr="005203CE">
              <w:rPr>
                <w:rFonts w:ascii="inherit" w:eastAsia="Times New Roman" w:hAnsi="inherit" w:cs="Times New Roman"/>
                <w:sz w:val="22"/>
                <w:szCs w:val="22"/>
                <w:lang w:eastAsia="hr-HR"/>
              </w:rPr>
              <w:t> + SO</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 + H</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SO</w:t>
            </w:r>
            <w:r w:rsidRPr="005203CE">
              <w:rPr>
                <w:rFonts w:ascii="inherit" w:eastAsia="Times New Roman" w:hAnsi="inherit" w:cs="Times New Roman"/>
                <w:sz w:val="15"/>
                <w:szCs w:val="15"/>
                <w:vertAlign w:val="subscript"/>
                <w:lang w:eastAsia="hr-HR"/>
              </w:rPr>
              <w:t>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0,9</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Natriev hipoklorit, otopina aktivnog Cl</w:t>
            </w:r>
            <w:hyperlink r:id="rId211" w:anchor="ntr38-C_2018124HR.01008701-E0038" w:history="1">
              <w:r w:rsidRPr="005203CE">
                <w:rPr>
                  <w:rFonts w:ascii="inherit" w:eastAsia="Times New Roman" w:hAnsi="inherit" w:cs="Times New Roman"/>
                  <w:color w:val="0000FF"/>
                  <w:sz w:val="22"/>
                  <w:szCs w:val="22"/>
                  <w:u w:val="single"/>
                  <w:lang w:eastAsia="hr-HR"/>
                </w:rPr>
                <w:t> (</w:t>
              </w:r>
              <w:r w:rsidRPr="005203CE">
                <w:rPr>
                  <w:rFonts w:ascii="inherit" w:eastAsia="Times New Roman" w:hAnsi="inherit" w:cs="Times New Roman"/>
                  <w:color w:val="0000FF"/>
                  <w:sz w:val="15"/>
                  <w:szCs w:val="15"/>
                  <w:u w:val="single"/>
                  <w:vertAlign w:val="superscript"/>
                  <w:lang w:eastAsia="hr-HR"/>
                </w:rPr>
                <w:t>38</w:t>
              </w:r>
              <w:r w:rsidRPr="005203CE">
                <w:rPr>
                  <w:rFonts w:ascii="inherit" w:eastAsia="Times New Roman" w:hAnsi="inherit" w:cs="Times New Roman"/>
                  <w:color w:val="0000FF"/>
                  <w:sz w:val="22"/>
                  <w:szCs w:val="22"/>
                  <w:u w:val="single"/>
                  <w:lang w:eastAsia="hr-HR"/>
                </w:rPr>
                <w:t>)</w:t>
              </w:r>
            </w:hyperlink>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EUH031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2NaOCl + 2H</w:t>
            </w:r>
            <w:r w:rsidRPr="005203CE">
              <w:rPr>
                <w:rFonts w:ascii="inherit" w:eastAsia="Times New Roman" w:hAnsi="inherit" w:cs="Times New Roman"/>
                <w:sz w:val="15"/>
                <w:szCs w:val="15"/>
                <w:vertAlign w:val="superscript"/>
                <w:lang w:eastAsia="hr-HR"/>
              </w:rPr>
              <w:t>+</w:t>
            </w:r>
            <w:r w:rsidRPr="005203CE">
              <w:rPr>
                <w:rFonts w:ascii="inherit" w:eastAsia="Times New Roman" w:hAnsi="inherit" w:cs="Times New Roman"/>
                <w:sz w:val="22"/>
                <w:szCs w:val="22"/>
                <w:lang w:eastAsia="hr-HR"/>
              </w:rPr>
              <w:t> → Cl</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 + 2Na</w:t>
            </w:r>
            <w:r w:rsidRPr="005203CE">
              <w:rPr>
                <w:rFonts w:ascii="inherit" w:eastAsia="Times New Roman" w:hAnsi="inherit" w:cs="Times New Roman"/>
                <w:sz w:val="15"/>
                <w:szCs w:val="15"/>
                <w:vertAlign w:val="superscript"/>
                <w:lang w:eastAsia="hr-HR"/>
              </w:rPr>
              <w:t>+</w:t>
            </w:r>
            <w:r w:rsidRPr="005203CE">
              <w:rPr>
                <w:rFonts w:ascii="inherit" w:eastAsia="Times New Roman" w:hAnsi="inherit" w:cs="Times New Roman"/>
                <w:sz w:val="22"/>
                <w:szCs w:val="22"/>
                <w:lang w:eastAsia="hr-HR"/>
              </w:rPr>
              <w:t> + H</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O</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2,9</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Kalcijev hipoklorit, otopina aktivnog Cl</w:t>
            </w:r>
            <w:hyperlink r:id="rId212" w:anchor="ntr38-C_2018124HR.01008701-E0038" w:history="1">
              <w:r w:rsidRPr="005203CE">
                <w:rPr>
                  <w:rFonts w:ascii="inherit" w:eastAsia="Times New Roman" w:hAnsi="inherit" w:cs="Times New Roman"/>
                  <w:color w:val="0000FF"/>
                  <w:sz w:val="22"/>
                  <w:szCs w:val="22"/>
                  <w:u w:val="single"/>
                  <w:lang w:eastAsia="hr-HR"/>
                </w:rPr>
                <w:t> (</w:t>
              </w:r>
              <w:r w:rsidRPr="005203CE">
                <w:rPr>
                  <w:rFonts w:ascii="inherit" w:eastAsia="Times New Roman" w:hAnsi="inherit" w:cs="Times New Roman"/>
                  <w:color w:val="0000FF"/>
                  <w:sz w:val="15"/>
                  <w:szCs w:val="15"/>
                  <w:u w:val="single"/>
                  <w:vertAlign w:val="superscript"/>
                  <w:lang w:eastAsia="hr-HR"/>
                </w:rPr>
                <w:t>38</w:t>
              </w:r>
              <w:r w:rsidRPr="005203CE">
                <w:rPr>
                  <w:rFonts w:ascii="inherit" w:eastAsia="Times New Roman" w:hAnsi="inherit" w:cs="Times New Roman"/>
                  <w:color w:val="0000FF"/>
                  <w:sz w:val="22"/>
                  <w:szCs w:val="22"/>
                  <w:u w:val="single"/>
                  <w:lang w:eastAsia="hr-HR"/>
                </w:rPr>
                <w:t>)</w:t>
              </w:r>
            </w:hyperlink>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EUH031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Ca(OCl)</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 + 2H</w:t>
            </w:r>
            <w:r w:rsidRPr="005203CE">
              <w:rPr>
                <w:rFonts w:ascii="inherit" w:eastAsia="Times New Roman" w:hAnsi="inherit" w:cs="Times New Roman"/>
                <w:sz w:val="15"/>
                <w:szCs w:val="15"/>
                <w:vertAlign w:val="superscript"/>
                <w:lang w:eastAsia="hr-HR"/>
              </w:rPr>
              <w:t>+</w:t>
            </w:r>
            <w:r w:rsidRPr="005203CE">
              <w:rPr>
                <w:rFonts w:ascii="inherit" w:eastAsia="Times New Roman" w:hAnsi="inherit" w:cs="Times New Roman"/>
                <w:sz w:val="22"/>
                <w:szCs w:val="22"/>
                <w:lang w:eastAsia="hr-HR"/>
              </w:rPr>
              <w:t> → Cl</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 + Ca</w:t>
            </w:r>
            <w:r w:rsidRPr="005203CE">
              <w:rPr>
                <w:rFonts w:ascii="inherit" w:eastAsia="Times New Roman" w:hAnsi="inherit" w:cs="Times New Roman"/>
                <w:sz w:val="15"/>
                <w:szCs w:val="15"/>
                <w:vertAlign w:val="superscript"/>
                <w:lang w:eastAsia="hr-HR"/>
              </w:rPr>
              <w:t>2+</w:t>
            </w:r>
            <w:r w:rsidRPr="005203CE">
              <w:rPr>
                <w:rFonts w:ascii="inherit" w:eastAsia="Times New Roman" w:hAnsi="inherit" w:cs="Times New Roman"/>
                <w:sz w:val="22"/>
                <w:szCs w:val="22"/>
                <w:lang w:eastAsia="hr-HR"/>
              </w:rPr>
              <w:t> + H</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O</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Diklorizocianurska kiselina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EUH031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C</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HCl</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N</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O</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 + 2H</w:t>
            </w:r>
            <w:r w:rsidRPr="005203CE">
              <w:rPr>
                <w:rFonts w:ascii="inherit" w:eastAsia="Times New Roman" w:hAnsi="inherit" w:cs="Times New Roman"/>
                <w:sz w:val="15"/>
                <w:szCs w:val="15"/>
                <w:vertAlign w:val="superscript"/>
                <w:lang w:eastAsia="hr-HR"/>
              </w:rPr>
              <w:t>+</w:t>
            </w:r>
            <w:r w:rsidRPr="005203CE">
              <w:rPr>
                <w:rFonts w:ascii="inherit" w:eastAsia="Times New Roman" w:hAnsi="inherit" w:cs="Times New Roman"/>
                <w:sz w:val="22"/>
                <w:szCs w:val="22"/>
                <w:lang w:eastAsia="hr-HR"/>
              </w:rPr>
              <w:t> → C</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H</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N</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O</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 + Cl</w:t>
            </w:r>
            <w:r w:rsidRPr="005203CE">
              <w:rPr>
                <w:rFonts w:ascii="inherit" w:eastAsia="Times New Roman" w:hAnsi="inherit" w:cs="Times New Roman"/>
                <w:sz w:val="15"/>
                <w:szCs w:val="15"/>
                <w:vertAlign w:val="subscript"/>
                <w:lang w:eastAsia="hr-HR"/>
              </w:rPr>
              <w:t>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0,9</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Natrijeva sol diklorizocijanurske kiseline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EUH031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C</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Cl</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N</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O</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Na + 3H</w:t>
            </w:r>
            <w:r w:rsidRPr="005203CE">
              <w:rPr>
                <w:rFonts w:ascii="inherit" w:eastAsia="Times New Roman" w:hAnsi="inherit" w:cs="Times New Roman"/>
                <w:sz w:val="15"/>
                <w:szCs w:val="15"/>
                <w:vertAlign w:val="superscript"/>
                <w:lang w:eastAsia="hr-HR"/>
              </w:rPr>
              <w:t>+</w:t>
            </w:r>
            <w:r w:rsidRPr="005203CE">
              <w:rPr>
                <w:rFonts w:ascii="inherit" w:eastAsia="Times New Roman" w:hAnsi="inherit" w:cs="Times New Roman"/>
                <w:sz w:val="22"/>
                <w:szCs w:val="22"/>
                <w:lang w:eastAsia="hr-HR"/>
              </w:rPr>
              <w:t> → C</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H</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N</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O</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 + Cl</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 + Na</w:t>
            </w:r>
            <w:r w:rsidRPr="005203CE">
              <w:rPr>
                <w:rFonts w:ascii="inherit" w:eastAsia="Times New Roman" w:hAnsi="inherit" w:cs="Times New Roman"/>
                <w:sz w:val="15"/>
                <w:szCs w:val="15"/>
                <w:vertAlign w:val="superscript"/>
                <w:lang w:eastAsia="hr-HR"/>
              </w:rPr>
              <w:t>+</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1,0</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Natrijev dikloroizocianurat dihidrat</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EUH031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C</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Cl</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N</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O</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Na · 2H</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O + 3H</w:t>
            </w:r>
            <w:r w:rsidRPr="005203CE">
              <w:rPr>
                <w:rFonts w:ascii="inherit" w:eastAsia="Times New Roman" w:hAnsi="inherit" w:cs="Times New Roman"/>
                <w:sz w:val="15"/>
                <w:szCs w:val="15"/>
                <w:vertAlign w:val="superscript"/>
                <w:lang w:eastAsia="hr-HR"/>
              </w:rPr>
              <w:t>+</w:t>
            </w:r>
            <w:r w:rsidRPr="005203CE">
              <w:rPr>
                <w:rFonts w:ascii="inherit" w:eastAsia="Times New Roman" w:hAnsi="inherit" w:cs="Times New Roman"/>
                <w:sz w:val="22"/>
                <w:szCs w:val="22"/>
                <w:lang w:eastAsia="hr-HR"/>
              </w:rPr>
              <w:t> → C</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H</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N</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O</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 + Cl</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 + Na</w:t>
            </w:r>
            <w:r w:rsidRPr="005203CE">
              <w:rPr>
                <w:rFonts w:ascii="inherit" w:eastAsia="Times New Roman" w:hAnsi="inherit" w:cs="Times New Roman"/>
                <w:sz w:val="15"/>
                <w:szCs w:val="15"/>
                <w:vertAlign w:val="superscript"/>
                <w:lang w:eastAsia="hr-HR"/>
              </w:rPr>
              <w:t>+</w:t>
            </w:r>
            <w:r w:rsidRPr="005203CE">
              <w:rPr>
                <w:rFonts w:ascii="inherit" w:eastAsia="Times New Roman" w:hAnsi="inherit" w:cs="Times New Roman"/>
                <w:sz w:val="22"/>
                <w:szCs w:val="22"/>
                <w:lang w:eastAsia="hr-HR"/>
              </w:rPr>
              <w:t> + 2H</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O</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1,1</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Triklorizocianurska kiselina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EUH031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2C</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Cl</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N</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O</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 + 6H</w:t>
            </w:r>
            <w:r w:rsidRPr="005203CE">
              <w:rPr>
                <w:rFonts w:ascii="inherit" w:eastAsia="Times New Roman" w:hAnsi="inherit" w:cs="Times New Roman"/>
                <w:sz w:val="15"/>
                <w:szCs w:val="15"/>
                <w:vertAlign w:val="superscript"/>
                <w:lang w:eastAsia="hr-HR"/>
              </w:rPr>
              <w:t>+</w:t>
            </w:r>
            <w:r w:rsidRPr="005203CE">
              <w:rPr>
                <w:rFonts w:ascii="inherit" w:eastAsia="Times New Roman" w:hAnsi="inherit" w:cs="Times New Roman"/>
                <w:sz w:val="22"/>
                <w:szCs w:val="22"/>
                <w:lang w:eastAsia="hr-HR"/>
              </w:rPr>
              <w:t> → 2C</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H</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N</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O</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 + 3Cl</w:t>
            </w:r>
            <w:r w:rsidRPr="005203CE">
              <w:rPr>
                <w:rFonts w:ascii="inherit" w:eastAsia="Times New Roman" w:hAnsi="inherit" w:cs="Times New Roman"/>
                <w:sz w:val="15"/>
                <w:szCs w:val="15"/>
                <w:vertAlign w:val="subscript"/>
                <w:lang w:eastAsia="hr-HR"/>
              </w:rPr>
              <w:t>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0,7</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Soli cijanovodika s iznimkom kompleksnih cijanida kao što su ferocijanidi, fericijanidi i živin oksicijanid</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EUH032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NaCN + H</w:t>
            </w:r>
            <w:r w:rsidRPr="005203CE">
              <w:rPr>
                <w:rFonts w:ascii="inherit" w:eastAsia="Times New Roman" w:hAnsi="inherit" w:cs="Times New Roman"/>
                <w:sz w:val="15"/>
                <w:szCs w:val="15"/>
                <w:vertAlign w:val="superscript"/>
                <w:lang w:eastAsia="hr-HR"/>
              </w:rPr>
              <w:t>+</w:t>
            </w:r>
            <w:r w:rsidRPr="005203CE">
              <w:rPr>
                <w:rFonts w:ascii="inherit" w:eastAsia="Times New Roman" w:hAnsi="inherit" w:cs="Times New Roman"/>
                <w:sz w:val="22"/>
                <w:szCs w:val="22"/>
                <w:lang w:eastAsia="hr-HR"/>
              </w:rPr>
              <w:t> → HCN + Na</w:t>
            </w:r>
            <w:r w:rsidRPr="005203CE">
              <w:rPr>
                <w:rFonts w:ascii="inherit" w:eastAsia="Times New Roman" w:hAnsi="inherit" w:cs="Times New Roman"/>
                <w:sz w:val="15"/>
                <w:szCs w:val="15"/>
                <w:vertAlign w:val="superscript"/>
                <w:lang w:eastAsia="hr-HR"/>
              </w:rPr>
              <w:t>+</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0,2</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Natrijev fluorid</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EUH032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NaF + H</w:t>
            </w:r>
            <w:r w:rsidRPr="005203CE">
              <w:rPr>
                <w:rFonts w:ascii="inherit" w:eastAsia="Times New Roman" w:hAnsi="inherit" w:cs="Times New Roman"/>
                <w:sz w:val="15"/>
                <w:szCs w:val="15"/>
                <w:vertAlign w:val="superscript"/>
                <w:lang w:eastAsia="hr-HR"/>
              </w:rPr>
              <w:t>+</w:t>
            </w:r>
            <w:r w:rsidRPr="005203CE">
              <w:rPr>
                <w:rFonts w:ascii="inherit" w:eastAsia="Times New Roman" w:hAnsi="inherit" w:cs="Times New Roman"/>
                <w:sz w:val="22"/>
                <w:szCs w:val="22"/>
                <w:lang w:eastAsia="hr-HR"/>
              </w:rPr>
              <w:t> → HF + Na</w:t>
            </w:r>
            <w:r w:rsidRPr="005203CE">
              <w:rPr>
                <w:rFonts w:ascii="inherit" w:eastAsia="Times New Roman" w:hAnsi="inherit" w:cs="Times New Roman"/>
                <w:sz w:val="15"/>
                <w:szCs w:val="15"/>
                <w:vertAlign w:val="superscript"/>
                <w:lang w:eastAsia="hr-HR"/>
              </w:rPr>
              <w:t>+</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0,2</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Natrijev azid</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EUH032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NaN</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 + H</w:t>
            </w:r>
            <w:r w:rsidRPr="005203CE">
              <w:rPr>
                <w:rFonts w:ascii="inherit" w:eastAsia="Times New Roman" w:hAnsi="inherit" w:cs="Times New Roman"/>
                <w:sz w:val="15"/>
                <w:szCs w:val="15"/>
                <w:vertAlign w:val="superscript"/>
                <w:lang w:eastAsia="hr-HR"/>
              </w:rPr>
              <w:t>+</w:t>
            </w:r>
            <w:r w:rsidRPr="005203CE">
              <w:rPr>
                <w:rFonts w:ascii="inherit" w:eastAsia="Times New Roman" w:hAnsi="inherit" w:cs="Times New Roman"/>
                <w:sz w:val="22"/>
                <w:szCs w:val="22"/>
                <w:lang w:eastAsia="hr-HR"/>
              </w:rPr>
              <w:t> + H</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O → NO</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 + NH</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 + Na</w:t>
            </w:r>
            <w:r w:rsidRPr="005203CE">
              <w:rPr>
                <w:rFonts w:ascii="inherit" w:eastAsia="Times New Roman" w:hAnsi="inherit" w:cs="Times New Roman"/>
                <w:sz w:val="15"/>
                <w:szCs w:val="15"/>
                <w:vertAlign w:val="superscript"/>
                <w:lang w:eastAsia="hr-HR"/>
              </w:rPr>
              <w:t>+</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0,3</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Tricinkov difosfid</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EUH032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Zn</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P</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 + 6H</w:t>
            </w:r>
            <w:r w:rsidRPr="005203CE">
              <w:rPr>
                <w:rFonts w:ascii="inherit" w:eastAsia="Times New Roman" w:hAnsi="inherit" w:cs="Times New Roman"/>
                <w:sz w:val="15"/>
                <w:szCs w:val="15"/>
                <w:vertAlign w:val="superscript"/>
                <w:lang w:eastAsia="hr-HR"/>
              </w:rPr>
              <w:t>+</w:t>
            </w:r>
            <w:r w:rsidRPr="005203CE">
              <w:rPr>
                <w:rFonts w:ascii="inherit" w:eastAsia="Times New Roman" w:hAnsi="inherit" w:cs="Times New Roman"/>
                <w:sz w:val="22"/>
                <w:szCs w:val="22"/>
                <w:lang w:eastAsia="hr-HR"/>
              </w:rPr>
              <w:t> → 2PH</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 + 3Zn</w:t>
            </w:r>
            <w:r w:rsidRPr="005203CE">
              <w:rPr>
                <w:rFonts w:ascii="inherit" w:eastAsia="Times New Roman" w:hAnsi="inherit" w:cs="Times New Roman"/>
                <w:sz w:val="15"/>
                <w:szCs w:val="15"/>
                <w:vertAlign w:val="superscript"/>
                <w:lang w:eastAsia="hr-HR"/>
              </w:rPr>
              <w:t>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Kalcijev cijanid</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EUH032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Ca(CN)</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 + 2H</w:t>
            </w:r>
            <w:r w:rsidRPr="005203CE">
              <w:rPr>
                <w:rFonts w:ascii="inherit" w:eastAsia="Times New Roman" w:hAnsi="inherit" w:cs="Times New Roman"/>
                <w:sz w:val="15"/>
                <w:szCs w:val="15"/>
                <w:vertAlign w:val="superscript"/>
                <w:lang w:eastAsia="hr-HR"/>
              </w:rPr>
              <w:t>+</w:t>
            </w:r>
            <w:r w:rsidRPr="005203CE">
              <w:rPr>
                <w:rFonts w:ascii="inherit" w:eastAsia="Times New Roman" w:hAnsi="inherit" w:cs="Times New Roman"/>
                <w:sz w:val="22"/>
                <w:szCs w:val="22"/>
                <w:lang w:eastAsia="hr-HR"/>
              </w:rPr>
              <w:t> → 2HCN + Ca</w:t>
            </w:r>
            <w:r w:rsidRPr="005203CE">
              <w:rPr>
                <w:rFonts w:ascii="inherit" w:eastAsia="Times New Roman" w:hAnsi="inherit" w:cs="Times New Roman"/>
                <w:sz w:val="15"/>
                <w:szCs w:val="15"/>
                <w:vertAlign w:val="superscript"/>
                <w:lang w:eastAsia="hr-HR"/>
              </w:rPr>
              <w:t>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0,2</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Kadmijev cijanid</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EUH032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Cd(CN)</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 + 2H</w:t>
            </w:r>
            <w:r w:rsidRPr="005203CE">
              <w:rPr>
                <w:rFonts w:ascii="inherit" w:eastAsia="Times New Roman" w:hAnsi="inherit" w:cs="Times New Roman"/>
                <w:sz w:val="15"/>
                <w:szCs w:val="15"/>
                <w:vertAlign w:val="superscript"/>
                <w:lang w:eastAsia="hr-HR"/>
              </w:rPr>
              <w:t>+</w:t>
            </w:r>
            <w:r w:rsidRPr="005203CE">
              <w:rPr>
                <w:rFonts w:ascii="inherit" w:eastAsia="Times New Roman" w:hAnsi="inherit" w:cs="Times New Roman"/>
                <w:sz w:val="22"/>
                <w:szCs w:val="22"/>
                <w:lang w:eastAsia="hr-HR"/>
              </w:rPr>
              <w:t> → 2HCN + Cd</w:t>
            </w:r>
            <w:r w:rsidRPr="005203CE">
              <w:rPr>
                <w:rFonts w:ascii="inherit" w:eastAsia="Times New Roman" w:hAnsi="inherit" w:cs="Times New Roman"/>
                <w:sz w:val="15"/>
                <w:szCs w:val="15"/>
                <w:vertAlign w:val="superscript"/>
                <w:lang w:eastAsia="hr-HR"/>
              </w:rPr>
              <w:t>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0,4</w:t>
            </w:r>
          </w:p>
        </w:tc>
      </w:tr>
      <w:tr w:rsidR="005203CE" w:rsidRPr="005203CE" w:rsidTr="005203CE">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Aluminijev fosfid</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EUH029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AlP + 3H</w:t>
            </w:r>
            <w:r w:rsidRPr="005203CE">
              <w:rPr>
                <w:rFonts w:ascii="inherit" w:eastAsia="Times New Roman" w:hAnsi="inherit" w:cs="Times New Roman"/>
                <w:sz w:val="15"/>
                <w:szCs w:val="15"/>
                <w:vertAlign w:val="superscript"/>
                <w:lang w:eastAsia="hr-HR"/>
              </w:rPr>
              <w:t>+</w:t>
            </w:r>
            <w:r w:rsidRPr="005203CE">
              <w:rPr>
                <w:rFonts w:ascii="inherit" w:eastAsia="Times New Roman" w:hAnsi="inherit" w:cs="Times New Roman"/>
                <w:sz w:val="22"/>
                <w:szCs w:val="22"/>
                <w:lang w:eastAsia="hr-HR"/>
              </w:rPr>
              <w:t> → PH</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 + Al</w:t>
            </w:r>
            <w:r w:rsidRPr="005203CE">
              <w:rPr>
                <w:rFonts w:ascii="inherit" w:eastAsia="Times New Roman" w:hAnsi="inherit" w:cs="Times New Roman"/>
                <w:sz w:val="15"/>
                <w:szCs w:val="15"/>
                <w:vertAlign w:val="superscript"/>
                <w:lang w:eastAsia="hr-HR"/>
              </w:rPr>
              <w:t>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0,3</w:t>
            </w:r>
          </w:p>
        </w:tc>
      </w:tr>
      <w:tr w:rsidR="005203CE" w:rsidRPr="005203CE" w:rsidTr="005203CE">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EUH032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AlP + 3H</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O → PH</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 + Al(OH)</w:t>
            </w:r>
            <w:r w:rsidRPr="005203CE">
              <w:rPr>
                <w:rFonts w:ascii="inherit" w:eastAsia="Times New Roman" w:hAnsi="inherit" w:cs="Times New Roman"/>
                <w:sz w:val="15"/>
                <w:szCs w:val="15"/>
                <w:vertAlign w:val="subscript"/>
                <w:lang w:eastAsia="hr-HR"/>
              </w:rPr>
              <w:t>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0,3</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Kalcijev fosfid</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EUH029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Ca</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P</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 + 6H</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O → 2PH</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 + 3Ca(OH)</w:t>
            </w:r>
            <w:r w:rsidRPr="005203CE">
              <w:rPr>
                <w:rFonts w:ascii="inherit" w:eastAsia="Times New Roman" w:hAnsi="inherit" w:cs="Times New Roman"/>
                <w:sz w:val="15"/>
                <w:szCs w:val="15"/>
                <w:vertAlign w:val="subscript"/>
                <w:lang w:eastAsia="hr-HR"/>
              </w:rPr>
              <w:t>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0,4</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Magnezijev fosfid</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EUH029</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EUH032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Mg</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P</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 + 6H</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O → 2PH</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 + 3Mg(OH)</w:t>
            </w:r>
            <w:r w:rsidRPr="005203CE">
              <w:rPr>
                <w:rFonts w:ascii="inherit" w:eastAsia="Times New Roman" w:hAnsi="inherit" w:cs="Times New Roman"/>
                <w:sz w:val="15"/>
                <w:szCs w:val="15"/>
                <w:vertAlign w:val="subscript"/>
                <w:lang w:eastAsia="hr-HR"/>
              </w:rPr>
              <w:t>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0,3</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Tricinkov difosfid</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EUH029</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EUH032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Zn</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P</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 + 6H</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O → 2PH</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 + 3Zn(OH)</w:t>
            </w:r>
            <w:r w:rsidRPr="005203CE">
              <w:rPr>
                <w:rFonts w:ascii="inherit" w:eastAsia="Times New Roman" w:hAnsi="inherit" w:cs="Times New Roman"/>
                <w:sz w:val="15"/>
                <w:szCs w:val="15"/>
                <w:vertAlign w:val="subscript"/>
                <w:lang w:eastAsia="hr-HR"/>
              </w:rPr>
              <w:t>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0,6</w:t>
            </w:r>
          </w:p>
        </w:tc>
      </w:tr>
      <w:tr w:rsidR="005203CE" w:rsidRPr="005203CE" w:rsidTr="005203CE">
        <w:trPr>
          <w:tblCellSpacing w:w="0" w:type="dxa"/>
        </w:trPr>
        <w:tc>
          <w:tcPr>
            <w:tcW w:w="0" w:type="auto"/>
            <w:gridSpan w:val="4"/>
            <w:vAlign w:val="center"/>
            <w:hideMark/>
          </w:tcPr>
          <w:p w:rsidR="005203CE" w:rsidRPr="005203CE" w:rsidRDefault="005203CE" w:rsidP="005203CE">
            <w:pPr>
              <w:spacing w:after="0" w:line="240" w:lineRule="auto"/>
              <w:rPr>
                <w:rFonts w:ascii="inherit" w:eastAsia="Times New Roman" w:hAnsi="inherit" w:cs="Times New Roman"/>
                <w:sz w:val="22"/>
                <w:szCs w:val="22"/>
                <w:lang w:eastAsia="hr-HR"/>
              </w:rPr>
            </w:pPr>
          </w:p>
        </w:tc>
      </w:tr>
    </w:tbl>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Ispitne metode</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Ne postoje izravne ispitne metode za oznaku HP 12.</w:t>
      </w:r>
      <w:hyperlink r:id="rId213" w:anchor="ntr39-C_2018124HR.01008701-E0039"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39</w:t>
        </w:r>
        <w:r w:rsidRPr="005203CE">
          <w:rPr>
            <w:rFonts w:ascii="inherit" w:eastAsia="Times New Roman" w:hAnsi="inherit" w:cs="Times New Roman"/>
            <w:color w:val="0000FF"/>
            <w:szCs w:val="24"/>
            <w:u w:val="single"/>
            <w:lang w:eastAsia="hr-HR"/>
          </w:rPr>
          <w:t>)</w:t>
        </w:r>
      </w:hyperlink>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Ako je ispitivanje nužno, potrebno je upotrijebiti ispitnu metodu za emisije zapaljivog plina navedenu u Smjernicama ECHA-e za CLP. U slučaju kad otpad sadržava tvari s oznakom EUH031 ili EUH032, 1 M otopina klorovodične kiseline može se upotrijebiti kao zamjena za vodu u ispitivanju.</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3.13.    </w:t>
      </w:r>
      <w:r w:rsidRPr="005203CE">
        <w:rPr>
          <w:rFonts w:ascii="inherit" w:eastAsia="Times New Roman" w:hAnsi="inherit" w:cs="Times New Roman"/>
          <w:b/>
          <w:bCs/>
          <w:i/>
          <w:iCs/>
          <w:color w:val="000000"/>
          <w:szCs w:val="24"/>
          <w:lang w:eastAsia="hr-HR"/>
        </w:rPr>
        <w:t>Određivanje oznake HP 13: Senzibilizirajuće</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Definicija i daljnji opis iz Priloga III. ODO-u</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Prilogu III. Okvirnoj direktivi o otpadu oznaka HP 13 „Senzibilizirajuće” definira se kao:</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„otpad koji sadržava jednu ili više tvari za koje se zna da imaju sposobnost izazvati reakciju senzibilizacije (preosjetljivosti) kože ili dišnih organa.”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ODO-u se dalje objašnjava: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„Kad otpad sadržava tvar koja je razvrstana kao senzibilizirajuća i dodijeljena oznaci upozorenja H317 ili H334, a jedna je pojedinačna tvar jednaka graničnoj vrijednosti koncentracije od 10 % ili je premašuje, otpad se klasificira kao opasan oznakom HP 13.”</w:t>
      </w:r>
    </w:p>
    <w:p w:rsidR="005203CE" w:rsidRPr="005203CE" w:rsidRDefault="005203CE" w:rsidP="005203CE">
      <w:pPr>
        <w:spacing w:before="120" w:after="120" w:line="240" w:lineRule="auto"/>
        <w:jc w:val="center"/>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Tablica 22.</w:t>
      </w:r>
    </w:p>
    <w:p w:rsidR="005203CE" w:rsidRPr="005203CE" w:rsidRDefault="005203CE" w:rsidP="005203CE">
      <w:pPr>
        <w:spacing w:before="120" w:after="120" w:line="240" w:lineRule="auto"/>
        <w:jc w:val="center"/>
        <w:rPr>
          <w:rFonts w:ascii="inherit" w:eastAsia="Times New Roman" w:hAnsi="inherit" w:cs="Times New Roman"/>
          <w:color w:val="000000"/>
          <w:szCs w:val="24"/>
          <w:lang w:eastAsia="hr-HR"/>
        </w:rPr>
      </w:pPr>
      <w:r w:rsidRPr="005203CE">
        <w:rPr>
          <w:rFonts w:ascii="inherit" w:eastAsia="Times New Roman" w:hAnsi="inherit" w:cs="Times New Roman"/>
          <w:b/>
          <w:bCs/>
          <w:color w:val="000000"/>
          <w:szCs w:val="24"/>
          <w:lang w:eastAsia="hr-HR"/>
        </w:rPr>
        <w:t>Razred opasnosti, šifre kategorija i šifre oznaka upozorenja za sastojke otpada te odgovarajuće granične vrijednosti koncentracija radi njegova razvrstavanja kao opasnog oznakom HP 13 „Senzibilizirajuće”</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005"/>
        <w:gridCol w:w="1733"/>
        <w:gridCol w:w="3106"/>
        <w:gridCol w:w="2212"/>
      </w:tblGrid>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Razred opasnosti i šifre kategorija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Šifre oznaka upozorenja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Opis</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Granična vrijednost koncentracije</w:t>
            </w:r>
          </w:p>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(Pojedinačna tvar)</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Derm. senz. 1, 1A i 1B</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H317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i/>
                <w:iCs/>
                <w:sz w:val="22"/>
                <w:szCs w:val="22"/>
                <w:lang w:eastAsia="hr-HR"/>
              </w:rPr>
              <w:t>Može izazvati alergijsku reakciju kože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 10 %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Resp. senz. 1, 1A i 1B</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H334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i/>
                <w:iCs/>
                <w:sz w:val="22"/>
                <w:szCs w:val="22"/>
                <w:lang w:eastAsia="hr-HR"/>
              </w:rPr>
              <w:t>Ako se udiše, može izazvati simptome alergije ili astme ili poteškoće s disanjem</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 10 %</w:t>
            </w:r>
          </w:p>
        </w:tc>
      </w:tr>
    </w:tbl>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Dijagram toka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Na slici 18. prikazan je postupak određivanja za HP 13.</w:t>
      </w:r>
      <w:hyperlink r:id="rId214" w:anchor="ntr40-C_2018124HR.01008701-E0040"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40</w:t>
        </w:r>
        <w:r w:rsidRPr="005203CE">
          <w:rPr>
            <w:rFonts w:ascii="inherit" w:eastAsia="Times New Roman" w:hAnsi="inherit" w:cs="Times New Roman"/>
            <w:color w:val="0000FF"/>
            <w:szCs w:val="24"/>
            <w:u w:val="single"/>
            <w:lang w:eastAsia="hr-HR"/>
          </w:rPr>
          <w:t>)</w:t>
        </w:r>
      </w:hyperlink>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noProof/>
          <w:color w:val="000000"/>
          <w:szCs w:val="24"/>
          <w:lang w:eastAsia="hr-HR"/>
        </w:rPr>
        <w:drawing>
          <wp:inline distT="0" distB="0" distL="0" distR="0">
            <wp:extent cx="5438775" cy="1666875"/>
            <wp:effectExtent l="0" t="0" r="9525" b="9525"/>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438775" cy="1666875"/>
                    </a:xfrm>
                    <a:prstGeom prst="rect">
                      <a:avLst/>
                    </a:prstGeom>
                    <a:noFill/>
                    <a:ln>
                      <a:noFill/>
                    </a:ln>
                  </pic:spPr>
                </pic:pic>
              </a:graphicData>
            </a:graphic>
          </wp:inline>
        </w:drawing>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lastRenderedPageBreak/>
        <w:t>Ispitne metode</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Ocjenjivanje otpada u pogledu oznake HP 13 potrebno je provesti na temelju:</w:t>
      </w:r>
    </w:p>
    <w:tbl>
      <w:tblPr>
        <w:tblW w:w="5000" w:type="pct"/>
        <w:tblCellSpacing w:w="0" w:type="dxa"/>
        <w:tblCellMar>
          <w:left w:w="0" w:type="dxa"/>
          <w:right w:w="0" w:type="dxa"/>
        </w:tblCellMar>
        <w:tblLook w:val="04A0" w:firstRow="1" w:lastRow="0" w:firstColumn="1" w:lastColumn="0" w:noHBand="0" w:noVBand="1"/>
      </w:tblPr>
      <w:tblGrid>
        <w:gridCol w:w="533"/>
        <w:gridCol w:w="8539"/>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utvrđivanja pojedinačnih tvari u otpadu,</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860"/>
        <w:gridCol w:w="821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njihova razvrstavanja te</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439"/>
        <w:gridCol w:w="8633"/>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upućivanja na granične vrijednosti koncentracija.</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Ako se za određivanje ovog svojstva opasnosti razmatra ispitivanje, otpad koji sadržava tvari navedene u tablici 22. potrebno je ocijeniti u pogledu senzibilizirajućih svojstava u skladu sa Smjernicama ECHA-e za CLP.</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Ispitne metode navedene u dijelu B Priloga Uredbi o ispitnim metodama uglavnom se temelje na ispitivanju na životinjama te stoga nisu prikladne.</w:t>
      </w:r>
      <w:hyperlink r:id="rId216" w:anchor="ntr41-C_2018124HR.01008701-E0041"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41</w:t>
        </w:r>
        <w:r w:rsidRPr="005203CE">
          <w:rPr>
            <w:rFonts w:ascii="inherit" w:eastAsia="Times New Roman" w:hAnsi="inherit" w:cs="Times New Roman"/>
            <w:color w:val="0000FF"/>
            <w:szCs w:val="24"/>
            <w:u w:val="single"/>
            <w:lang w:eastAsia="hr-HR"/>
          </w:rPr>
          <w:t>)</w:t>
        </w:r>
      </w:hyperlink>
      <w:r w:rsidRPr="005203CE">
        <w:rPr>
          <w:rFonts w:ascii="inherit" w:eastAsia="Times New Roman" w:hAnsi="inherit" w:cs="Times New Roman"/>
          <w:color w:val="000000"/>
          <w:szCs w:val="24"/>
          <w:lang w:eastAsia="hr-HR"/>
        </w:rPr>
        <w:t> Dodatne in vitro metode mogu biti dostupne iz drugih izvora, kao što je referentni laboratorij Europske unije za alternative ispitivanju na životinjama.</w:t>
      </w:r>
      <w:hyperlink r:id="rId217" w:anchor="ntr42-C_2018124HR.01008701-E0042"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42</w:t>
        </w:r>
        <w:r w:rsidRPr="005203CE">
          <w:rPr>
            <w:rFonts w:ascii="inherit" w:eastAsia="Times New Roman" w:hAnsi="inherit" w:cs="Times New Roman"/>
            <w:color w:val="0000FF"/>
            <w:szCs w:val="24"/>
            <w:u w:val="single"/>
            <w:lang w:eastAsia="hr-HR"/>
          </w:rPr>
          <w:t>)</w:t>
        </w:r>
      </w:hyperlink>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3.14.    </w:t>
      </w:r>
      <w:r w:rsidRPr="005203CE">
        <w:rPr>
          <w:rFonts w:ascii="inherit" w:eastAsia="Times New Roman" w:hAnsi="inherit" w:cs="Times New Roman"/>
          <w:b/>
          <w:bCs/>
          <w:i/>
          <w:iCs/>
          <w:color w:val="000000"/>
          <w:szCs w:val="24"/>
          <w:lang w:eastAsia="hr-HR"/>
        </w:rPr>
        <w:t>Određivanje oznake HP 14: Ekotoksično</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Definicija i daljnji opis iz Priloga III. ODO-u</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Prilog III. Okvirnoj direktivi o otpadu izmijenjen je u pogledu opasnog svojstva HP 14 „Ekotoksično” Uredbom Vijeća (EU) 2017/997</w:t>
      </w:r>
      <w:hyperlink r:id="rId218" w:anchor="ntr43-C_2018124HR.01008701-E0043"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43</w:t>
        </w:r>
        <w:r w:rsidRPr="005203CE">
          <w:rPr>
            <w:rFonts w:ascii="inherit" w:eastAsia="Times New Roman" w:hAnsi="inherit" w:cs="Times New Roman"/>
            <w:color w:val="0000FF"/>
            <w:szCs w:val="24"/>
            <w:u w:val="single"/>
            <w:lang w:eastAsia="hr-HR"/>
          </w:rPr>
          <w:t>)</w:t>
        </w:r>
      </w:hyperlink>
      <w:r w:rsidRPr="005203CE">
        <w:rPr>
          <w:rFonts w:ascii="inherit" w:eastAsia="Times New Roman" w:hAnsi="inherit" w:cs="Times New Roman"/>
          <w:color w:val="000000"/>
          <w:szCs w:val="24"/>
          <w:lang w:eastAsia="hr-HR"/>
        </w:rPr>
        <w:t>. Izmjene uvedene tom uredbom primjenjuju se od 5. srpnja 2018. Stoga je ocjenjivanje u pogledu oznake HP 14 potrebno provesti kako slijedi:</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U razdoblju od 1. lipnja 2015. do 5. srpnja 2018.:</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Prilogu III. Okvirnoj direktivi o otpadu oznaka HP 14 „Ekotoksično” definira se kao:</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„otpad koji predstavlja ili može predstavljati neposredne ili odgođene rizike za jedan ili više sektora okoliša.”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Oznakom HP 14 ekotoksikološki potencijal opisuje se kao unutarnje svojstvo otpada uz naznaku predstavlja li ili može li otpad predstavljati neposredne ili odgođene rizike za jedan sektor okoliša ili više njih.</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Budući da je posebna metodologija ocjenjivanja koja se odnosi na oznaku HP 14 „Ekotoksično” navedena samo u Uredbi Vijeća (EU) 2017/997, u razdoblju prije datuma primjene te uredbe, tj. 5. srpnja 2018., tijela i operateri trebaju se za određivanje oznake HP 14 „Ekotoksično” pozivati na nacionalna pravila u svojoj državi članici.</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Od 5. srpnja 2018. – Definicija i daljnji opis iz Priloga III. ODO-u, kako je izmijenjen Uredbom Vijeća (EU) 2017/997</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Prilogu III. Okvirnoj direktivi o otpadu oznaka HP 14 „Ekotoksično” definira se kao:</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„otpad koji predstavlja ili može predstavljati neposredne ili odgođene rizike za jedan ili više sektora okoliša.”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ODO-u se dalje objašnjava: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„Otpad koji ispunjava bilo koji od sljedećih uvjeta razvrstava se kao opasan oznakom HP 14:</w:t>
      </w: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i/>
                <w:iCs/>
                <w:szCs w:val="24"/>
                <w:lang w:eastAsia="hr-HR"/>
              </w:rPr>
              <w:t xml:space="preserve">otpad koji sadržava tvar koja je razvrstana kao tvar koja oštećuje ozonski sloj te joj je dodijeljena šifra oznake upozorenja H420 u skladu s Uredbom (EZ) br. 1272/2008 </w:t>
            </w:r>
            <w:r w:rsidRPr="005203CE">
              <w:rPr>
                <w:rFonts w:ascii="inherit" w:eastAsia="Times New Roman" w:hAnsi="inherit" w:cs="Times New Roman"/>
                <w:i/>
                <w:iCs/>
                <w:szCs w:val="24"/>
                <w:lang w:eastAsia="hr-HR"/>
              </w:rPr>
              <w:lastRenderedPageBreak/>
              <w:t>Europskog parlamenta i Vijeća (*), a koncentracija te tvari jednaka je graničnoj vrijednosti koncentracije od 0,1 % ili je premašuje. [c(H420) ≥ 0,1 %]</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i/>
                <w:iCs/>
                <w:szCs w:val="24"/>
                <w:lang w:eastAsia="hr-HR"/>
              </w:rPr>
              <w:t>otpad koji sadržava jednu ili više tvari koje su razvrstane kao akutno toksične u vodenom okolišu te im je dodijeljena šifra oznake upozorenja H400 u skladu s Uredbom (EZ) br. 1272/2008, a zbroj koncentracija tih tvari jednak je graničnoj vrijednosti koncentracije od 25 % ili je premašuje. Gornja granična vrijednost od 0,1 % primjenjuje se na te tvari. [Σ c (H400) ≥ 25 %]</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i/>
                <w:iCs/>
                <w:szCs w:val="24"/>
                <w:lang w:eastAsia="hr-HR"/>
              </w:rPr>
              <w:t>otpad koji sadržava jednu ili više tvari koje su razvrstane kao kronično toksične u vodenom okolišu 1., 2. ili 3. kategorije te im je dodijeljena jedna ili više šifri oznaka upozorenja H410, H411 ili H412 u skladu s Uredbom (EZ) br. 1272/2008, a zbroj koncentracija svih tvari koje su razvrstane kao kronično toksične u vodenom okolišu 1. kategorije (H410) pomnožen sa 100, dodan zbroju koncentracija svih tvari koje su razvrstane kao kronično toksične u vodenom okolišu 2. kategorije (H411) pomnoženom sa 10 i dodan zbroju koncentracija svih tvari koje su razvrstane kao kronično toksične u vodenom okolišu 3. kategorije (H412) jednak je graničnoj vrijednosti koncentracije od 25 % ili je premašuje. Gornja granična vrijednost od 0,1 % primjenjuje se na tvari koje su razvrstane kao H410 i gornja granična vrijednost od 1 % primjenjuje se na tvari koje su razvrstane kao H411 ili H412. [100 × Σc (H410) + 10 × Σc (H411) + Σc (H412) ≥ 25 %]</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40"/>
        <w:gridCol w:w="883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i/>
                <w:iCs/>
                <w:szCs w:val="24"/>
                <w:lang w:eastAsia="hr-HR"/>
              </w:rPr>
              <w:t>otpad koji sadržava jednu ili više tvari koje su razvrstane kao kronično toksične u vodenom okolišu 1., 2., 3. ili 4. kategorije te im je dodijeljena jedna ili više šifri oznaka upozorenja H410, H411, H412 ili H413 u skladu s Uredbom (EZ) br. 1272/2008, a zbroj koncentracija svih tvari koje su razvrstane kao kronično toksične u vodenom okolišu jednak je graničnoj vrijednosti koncentracije od 25 % ili je premašuje. Gornja granična vrijednost od 0,1 % primjenjuje se na tvari koje su razvrstane kao H410 i gornja granična vrijednost od 1 % primjenjuje se na tvari koje su razvrstane kao H411, H412 ili H413. [Σ c H410 + Σ c H411 + Σ c H412 + Σ c H413 ≥ 25 %]</w:t>
            </w:r>
          </w:p>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i/>
                <w:iCs/>
                <w:szCs w:val="24"/>
                <w:lang w:eastAsia="hr-HR"/>
              </w:rPr>
              <w:t>pri čemu je: Σ = zbroj i c = koncentracije tvari.”</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Otpad koji ispunjava bilo koji od uvjeta navedenih u prethodne četiri alineje razvrstava se kao opasan oznakom HP 14.</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Potrebno je napomenuti da se te četiri alineje – uključujući treću i četvrtu – trebaju primjenjivati istovremeno: ne smije ih se tumačiti kao „opcije” među kojima treba donijeti izbor. Drugim riječima, ako su premašene granične vrijednosti koncentracija iz bilo koje od četiri alineje/formule, otpad će bit razvrstan kao ekotoksičan. Stoga otpad koji sadržava tvari razvrstane oznakama H410, H411 i H412 (neovisno o tome sadržavaju li i tvari razvrstane oznakom H413) treba u svim slučajevima biti razvrstan na temelju treće alineje.</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uvodnoj izjavi 8. Uredbe Vijeća (EU) 2017/997 ponavlja se tekst Priloga Popisu otpada u kojem se navodi da kada je opasno svojstvo otpada ocijenjeno ispitivanjem i korištenjem koncentracija opasnih tvari kao što je navedeno u Prilogu III. ODO-u, prednost imaju rezultati ispitivanja. Komisija trenutačno ne može dati konkretne preporuke o pristupu koji treba primijeniti za ekotoksikološku karakterizaciju otpada primjenom biotestova.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uvodnoj izjavi 8. Uredbe Vijeća (EU) 2017/997 upućuje se i na članak 12. točku (b) Uredbe (EZ) br. 1272/2008, koja se odnosi na bioraspoloživost i metodologije za primjenu koje bi se, prema potrebi, mogle upotrijebiti za otpad.</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lastRenderedPageBreak/>
        <w:t>Do daljnjih uputa EU-a države članice za svaki pojedinačni slučaj moraju same odlučiti o prihvatljivosti i tumačenju rezultata ekotoksikološke karakterizacije otpada primjenom biotestova, uključujući, prema potrebi, razmatranja o bioraspoloživosti i biopristupačnosti.</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Granične vrijednosti</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Sljedeće se granične vrijednosti primjenjuju za ocjenjivanje:</w:t>
      </w:r>
    </w:p>
    <w:tbl>
      <w:tblPr>
        <w:tblW w:w="5000" w:type="pct"/>
        <w:tblCellSpacing w:w="0" w:type="dxa"/>
        <w:tblCellMar>
          <w:left w:w="0" w:type="dxa"/>
          <w:right w:w="0" w:type="dxa"/>
        </w:tblCellMar>
        <w:tblLook w:val="04A0" w:firstRow="1" w:lastRow="0" w:firstColumn="1" w:lastColumn="0" w:noHBand="0" w:noVBand="1"/>
      </w:tblPr>
      <w:tblGrid>
        <w:gridCol w:w="702"/>
        <w:gridCol w:w="8370"/>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za H420, H400, H410: 0,1 %,</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746"/>
        <w:gridCol w:w="8326"/>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za H411, H412, H413: 1 %.</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Pojedinačna tvar prisutna u koncentraciji nižoj od granične vrijednosti za šifru oznake upozorenja koja joj je dodijeljena nije uključena u zbroj koncentracija za taj razred opasnosti i šifru kategorije.</w:t>
      </w:r>
    </w:p>
    <w:p w:rsidR="005203CE" w:rsidRPr="005203CE" w:rsidRDefault="005203CE" w:rsidP="005203CE">
      <w:pPr>
        <w:spacing w:before="120" w:after="120" w:line="240" w:lineRule="auto"/>
        <w:jc w:val="center"/>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Tablica 23.</w:t>
      </w:r>
    </w:p>
    <w:p w:rsidR="005203CE" w:rsidRPr="005203CE" w:rsidRDefault="005203CE" w:rsidP="005203CE">
      <w:pPr>
        <w:spacing w:before="120" w:after="120" w:line="240" w:lineRule="auto"/>
        <w:jc w:val="center"/>
        <w:rPr>
          <w:rFonts w:ascii="inherit" w:eastAsia="Times New Roman" w:hAnsi="inherit" w:cs="Times New Roman"/>
          <w:color w:val="000000"/>
          <w:szCs w:val="24"/>
          <w:lang w:eastAsia="hr-HR"/>
        </w:rPr>
      </w:pPr>
      <w:r w:rsidRPr="005203CE">
        <w:rPr>
          <w:rFonts w:ascii="inherit" w:eastAsia="Times New Roman" w:hAnsi="inherit" w:cs="Times New Roman"/>
          <w:b/>
          <w:bCs/>
          <w:color w:val="000000"/>
          <w:szCs w:val="24"/>
          <w:lang w:eastAsia="hr-HR"/>
        </w:rPr>
        <w:t>Razred opasnosti, šifre kategorija i šifre oznaka upozorenja za sastojke otpada te odgovarajuće granične vrijednosti koncentracija primjenjive za tvari razvrstane prema pojedinačnoj šifri oznake upozorenja</w:t>
      </w:r>
      <w:r w:rsidRPr="005203CE">
        <w:rPr>
          <w:rFonts w:ascii="inherit" w:eastAsia="Times New Roman" w:hAnsi="inherit" w:cs="Times New Roman"/>
          <w:color w:val="000000"/>
          <w:szCs w:val="24"/>
          <w:lang w:eastAsia="hr-HR"/>
        </w:rPr>
        <w:t> </w:t>
      </w:r>
      <w:hyperlink r:id="rId219" w:anchor="ntr44-C_2018124HR.01008701-E0044"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44</w:t>
        </w:r>
        <w:r w:rsidRPr="005203CE">
          <w:rPr>
            <w:rFonts w:ascii="inherit" w:eastAsia="Times New Roman" w:hAnsi="inherit" w:cs="Times New Roman"/>
            <w:color w:val="0000FF"/>
            <w:szCs w:val="24"/>
            <w:u w:val="single"/>
            <w:lang w:eastAsia="hr-HR"/>
          </w:rPr>
          <w:t>)</w:t>
        </w:r>
      </w:hyperlink>
      <w:r w:rsidRPr="005203CE">
        <w:rPr>
          <w:rFonts w:ascii="inherit" w:eastAsia="Times New Roman" w:hAnsi="inherit" w:cs="Times New Roman"/>
          <w:color w:val="000000"/>
          <w:szCs w:val="24"/>
          <w:lang w:eastAsia="hr-HR"/>
        </w:rPr>
        <w:t> </w:t>
      </w:r>
      <w:r w:rsidRPr="005203CE">
        <w:rPr>
          <w:rFonts w:ascii="inherit" w:eastAsia="Times New Roman" w:hAnsi="inherit" w:cs="Times New Roman"/>
          <w:b/>
          <w:bCs/>
          <w:color w:val="000000"/>
          <w:szCs w:val="24"/>
          <w:lang w:eastAsia="hr-HR"/>
        </w:rPr>
        <w:t>radi razvrstavanja otpada kao opasnog oznakom HP 14 „Ekotoksično”</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023"/>
        <w:gridCol w:w="1743"/>
        <w:gridCol w:w="3063"/>
        <w:gridCol w:w="2227"/>
      </w:tblGrid>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Razred opasnosti i šifre kategorija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Šifre oznaka upozorenja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Opis</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Granična vrijednost koncentracije</w:t>
            </w:r>
          </w:p>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(Pojedinačna tvar ili zbroj tvari)</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Ozon 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H420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Štetno za zdravlje ljudi i okoliš zbog uništavanja ozona u višoj atmosferi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 0,1 %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Ak. toks. vod. okol. 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H400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Vrlo otrovno za vodeni okoliš</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 25 %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Kron. toks. vod. okol. 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H410</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Vrlo otrovno za vodeni okoliš s dugotrajnim učincima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 0,25 %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Kron. toks. vod. okol. 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H411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Otrovno za vodeni okoliš s dugotrajnim učincima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 2,5 %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Kron. toks. vod. okol. 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H412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Štetno za vodeni okoliš s dugotrajnim učincima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 25 %</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Kron. toks. vod. okol. 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H413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Može uzrokovati dugotrajne štetne učinke na vodeni okoliš</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 25 %</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Na slici 19. prikazan je postupak određivanja za HP 14.</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noProof/>
          <w:color w:val="000000"/>
          <w:szCs w:val="24"/>
          <w:lang w:eastAsia="hr-HR"/>
        </w:rPr>
        <w:lastRenderedPageBreak/>
        <w:drawing>
          <wp:inline distT="0" distB="0" distL="0" distR="0">
            <wp:extent cx="6286500" cy="5791200"/>
            <wp:effectExtent l="0" t="0" r="0" b="0"/>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286500" cy="5791200"/>
                    </a:xfrm>
                    <a:prstGeom prst="rect">
                      <a:avLst/>
                    </a:prstGeom>
                    <a:noFill/>
                    <a:ln>
                      <a:noFill/>
                    </a:ln>
                  </pic:spPr>
                </pic:pic>
              </a:graphicData>
            </a:graphic>
          </wp:inline>
        </w:drawing>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Ispitne metode navedene u Uredbi o ispitnim metodama koje se temelje na ispitivanju na kralježnjacima nisu prikladne.</w:t>
      </w:r>
      <w:hyperlink r:id="rId221" w:anchor="ntr45-C_2018124HR.01008701-E0045"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45</w:t>
        </w:r>
        <w:r w:rsidRPr="005203CE">
          <w:rPr>
            <w:rFonts w:ascii="inherit" w:eastAsia="Times New Roman" w:hAnsi="inherit" w:cs="Times New Roman"/>
            <w:color w:val="0000FF"/>
            <w:szCs w:val="24"/>
            <w:u w:val="single"/>
            <w:lang w:eastAsia="hr-HR"/>
          </w:rPr>
          <w:t>)</w:t>
        </w:r>
      </w:hyperlink>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3.15.    </w:t>
      </w:r>
      <w:r w:rsidRPr="005203CE">
        <w:rPr>
          <w:rFonts w:ascii="inherit" w:eastAsia="Times New Roman" w:hAnsi="inherit" w:cs="Times New Roman"/>
          <w:b/>
          <w:bCs/>
          <w:i/>
          <w:iCs/>
          <w:color w:val="000000"/>
          <w:szCs w:val="24"/>
          <w:lang w:eastAsia="hr-HR"/>
        </w:rPr>
        <w:t>Određivanje oznake HP 15: Otpad koji može imati prethodno navedena opasna svojstva koja izvorni otpad nije izravno pokazivao</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Definicija i daljnji opis iz Priloga III. ODO-u</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Prilogu III. Okvirnoj direktivi o otpadu oznaka HP 15 definira se kao:</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„otpad koji može imati prethodno navedena opasna svojstva koja izvorni otpad nije izravno pokazivao.”</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ODO-u se dalje objašnjava: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„Kad otpad sadržava jednu ili više tvari dodijeljenih jednoj od oznaka upozorenja ili dopunskih oznaka upozorenja iz tablice 9.</w:t>
      </w:r>
      <w:r w:rsidRPr="005203CE">
        <w:rPr>
          <w:rFonts w:ascii="inherit" w:eastAsia="Times New Roman" w:hAnsi="inherit" w:cs="Times New Roman"/>
          <w:color w:val="000000"/>
          <w:szCs w:val="24"/>
          <w:lang w:eastAsia="hr-HR"/>
        </w:rPr>
        <w:t> [vidjeti tablicu 24. u ovom dokumentu]</w:t>
      </w:r>
      <w:r w:rsidRPr="005203CE">
        <w:rPr>
          <w:rFonts w:ascii="inherit" w:eastAsia="Times New Roman" w:hAnsi="inherit" w:cs="Times New Roman"/>
          <w:i/>
          <w:iCs/>
          <w:color w:val="000000"/>
          <w:szCs w:val="24"/>
          <w:lang w:eastAsia="hr-HR"/>
        </w:rPr>
        <w:t>, otpad se klasificira kao opasan oznakom HP 15, osim ako je otpad u takvu obliku da ni u kojim uvjetima ne može ispoljiti eksplozivna ili potencijalno eksplozivna svojstva.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lastRenderedPageBreak/>
        <w:t>K tomu, države članice mogu označiti otpad kao opasan oznakom HP 15 na temelju drugih primjenjivih kriterija, poput ocjenjivanja eluata.”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Otpad koji sadržava tvari kojima su dodijeljene šifre oznaka upozorenja ili dopunske šifre oznaka upozorenja u tablici 24. može se ispitati kako bi se pokazalo ima li to opasno svojstvo. Druga je opcija da se za otpad koji sadržava te tvari jednostavno pretpostavi da je opasan u smislu oznake HP 15.</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Države članice mogu označiti otpad kao opasan oznakom HP 15 i na temelju drugih primjenjivih kriterija, primjerice ocjenjivanja procjednih voda.</w:t>
      </w:r>
    </w:p>
    <w:p w:rsidR="005203CE" w:rsidRPr="005203CE" w:rsidRDefault="005203CE" w:rsidP="005203CE">
      <w:pPr>
        <w:spacing w:before="120" w:after="120" w:line="240" w:lineRule="auto"/>
        <w:jc w:val="center"/>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Tablica 24.</w:t>
      </w:r>
    </w:p>
    <w:p w:rsidR="005203CE" w:rsidRPr="005203CE" w:rsidRDefault="005203CE" w:rsidP="005203CE">
      <w:pPr>
        <w:spacing w:before="120" w:after="120" w:line="240" w:lineRule="auto"/>
        <w:jc w:val="center"/>
        <w:rPr>
          <w:rFonts w:ascii="inherit" w:eastAsia="Times New Roman" w:hAnsi="inherit" w:cs="Times New Roman"/>
          <w:color w:val="000000"/>
          <w:szCs w:val="24"/>
          <w:lang w:eastAsia="hr-HR"/>
        </w:rPr>
      </w:pPr>
      <w:r w:rsidRPr="005203CE">
        <w:rPr>
          <w:rFonts w:ascii="inherit" w:eastAsia="Times New Roman" w:hAnsi="inherit" w:cs="Times New Roman"/>
          <w:b/>
          <w:bCs/>
          <w:color w:val="000000"/>
          <w:szCs w:val="24"/>
          <w:lang w:eastAsia="hr-HR"/>
        </w:rPr>
        <w:t>Oznake upozorenja i dopunske oznake upozorenja za sastojke otpada radi njegova razvrstavanja kao opasnog oznakom HP 15</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906"/>
        <w:gridCol w:w="1150"/>
      </w:tblGrid>
      <w:tr w:rsidR="005203CE" w:rsidRPr="005203CE" w:rsidTr="005203CE">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Oznake upozorenja/dopunske oznake upozorenja</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U vatri može izazvati eksploziju ogromnih razmjera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H205</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Eksplozivno u suhom stanju</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EUH001</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Može stvarati eksplozivne perokside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EUH019</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Opasnost od eksplozije ako se zagrijava u zatvorenom prostoru</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EUH044</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Na slici 20. prikazan je postupak određivanja za HP 15.</w:t>
      </w:r>
      <w:hyperlink r:id="rId222" w:anchor="ntr46-C_2018124HR.01008701-E0046"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46</w:t>
        </w:r>
        <w:r w:rsidRPr="005203CE">
          <w:rPr>
            <w:rFonts w:ascii="inherit" w:eastAsia="Times New Roman" w:hAnsi="inherit" w:cs="Times New Roman"/>
            <w:color w:val="0000FF"/>
            <w:szCs w:val="24"/>
            <w:u w:val="single"/>
            <w:lang w:eastAsia="hr-HR"/>
          </w:rPr>
          <w:t>)</w:t>
        </w:r>
      </w:hyperlink>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noProof/>
          <w:color w:val="000000"/>
          <w:szCs w:val="24"/>
          <w:lang w:eastAsia="hr-HR"/>
        </w:rPr>
        <w:drawing>
          <wp:inline distT="0" distB="0" distL="0" distR="0">
            <wp:extent cx="5448300" cy="3238500"/>
            <wp:effectExtent l="0" t="0" r="0" b="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448300" cy="3238500"/>
                    </a:xfrm>
                    <a:prstGeom prst="rect">
                      <a:avLst/>
                    </a:prstGeom>
                    <a:noFill/>
                    <a:ln>
                      <a:noFill/>
                    </a:ln>
                  </pic:spPr>
                </pic:pic>
              </a:graphicData>
            </a:graphic>
          </wp:inline>
        </w:drawing>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Ispitne metode</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Otpad koji sadržava tvari navedene u tablici 24. potrebno je ocijeniti ili ispitati u pogledu oznaka EUH001, EUH044 i H205 u skladu sa Smjernicama ECHA-e za CLP, osobito smjernicama za razvrstavanje smjesa.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Otpad koji treba biti označen šifrom oznake upozorenja ili dopunskom šifrom oznake upozorenja kao rezultat ocjenjivanja u pogledu oznake EUH001, EUH019, EUH044 ili H205 ima opasno svojstvo HP 15.</w:t>
      </w:r>
    </w:p>
    <w:p w:rsidR="005203CE" w:rsidRPr="005203CE" w:rsidRDefault="00144F85" w:rsidP="005203CE">
      <w:pPr>
        <w:spacing w:before="240" w:after="60" w:line="240" w:lineRule="auto"/>
        <w:rPr>
          <w:rFonts w:eastAsia="Times New Roman" w:cs="Times New Roman"/>
          <w:color w:val="000000"/>
          <w:szCs w:val="24"/>
          <w:lang w:eastAsia="hr-HR"/>
        </w:rPr>
      </w:pPr>
      <w:r>
        <w:rPr>
          <w:rFonts w:eastAsia="Times New Roman" w:cs="Times New Roman"/>
          <w:color w:val="000000"/>
          <w:szCs w:val="24"/>
          <w:lang w:eastAsia="hr-HR"/>
        </w:rPr>
        <w:lastRenderedPageBreak/>
        <w:pict>
          <v:rect id="_x0000_i1032" style="width:277.65pt;height:.75pt" o:hrpct="0" o:hrstd="t" o:hrnoshade="t" o:hr="t" fillcolor="black" stroked="f"/>
        </w:pic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224" w:anchor="ntc1-C_2018124HR.01008701-E0001"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1</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Prilagođeno na temelju Smjernica Ujedinjene Kraljevine.</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225" w:anchor="ntc2-C_2018124HR.01008701-E0002"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2</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Uredba Komisije (EU) br. 2017/776 od 4. svibnja 2017. o izmjeni Uredbe (EZ) br. 1272/2008 Europskog parlamenta i Vijeća o razvrstavanju, označivanju i pakiranju tvari i smjesa za potrebe njezine prilagodbe tehničkom i znanstvenom napretku (</w:t>
      </w:r>
      <w:hyperlink r:id="rId226" w:history="1">
        <w:r w:rsidR="005203CE" w:rsidRPr="005203CE">
          <w:rPr>
            <w:rFonts w:ascii="inherit" w:eastAsia="Times New Roman" w:hAnsi="inherit" w:cs="Times New Roman"/>
            <w:color w:val="0000FF"/>
            <w:sz w:val="19"/>
            <w:szCs w:val="19"/>
            <w:u w:val="single"/>
            <w:lang w:eastAsia="hr-HR"/>
          </w:rPr>
          <w:t>SL L 116, 5.5.2017., str. 1.</w:t>
        </w:r>
      </w:hyperlink>
      <w:r w:rsidR="005203CE" w:rsidRPr="005203CE">
        <w:rPr>
          <w:rFonts w:ascii="inherit" w:eastAsia="Times New Roman" w:hAnsi="inherit" w:cs="Times New Roman"/>
          <w:color w:val="000000"/>
          <w:sz w:val="19"/>
          <w:szCs w:val="19"/>
          <w:lang w:eastAsia="hr-HR"/>
        </w:rPr>
        <w:t>).</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227" w:anchor="ntc3-C_2018124HR.01008701-E0003"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3</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Prilagođeno na temelju Smjernica Ujedinjene Kraljevine.</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228" w:anchor="ntc4-C_2018124HR.01008701-E0004"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4</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Prilagođeno na temelju Smjernica Ujedinjene Kraljevine.</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229" w:anchor="ntc5-C_2018124HR.01008701-E0005"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5</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Na temelju Smjernica Ujedinjene Kraljevine.</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230" w:anchor="ntc6-C_2018124HR.01008701-E0006"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6</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Ovo nije potpun popis takvih tvari. Navedeni primjeri preuzeti su iz Smjernica Ujedinjene Kraljevine.</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231" w:anchor="ntc7-C_2018124HR.01008701-E0007"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7</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Zaokruženo na jednu decimalu.</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232" w:anchor="ntc8-C_2018124HR.01008701-E0008"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8</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Potrebno je napomenuti da je u Smjernicama OVAM-a navedeno da se otpad razvrstava prema oznaci HP 4 ako sadržava tvari s oznakom H315 i/ili oznakom H319 i zbroj premašuje graničnu vrijednost.</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233" w:anchor="ntc9-C_2018124HR.01008701-E0009"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9</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Dodatne informacije o ispitivanju kisele/alkalne komponente dostupne su u članku Test No. 122: Determination of pH, Acidity and Alkalinity u okviru smjernica OECD-a za ispitivanje kemikalija, vidjeti http://www.oecd-ilibrary.org/environment/test-no-122-determination-of-ph-acidity-and-alkalinity_9789264203686-en ili u Young, J.R., How, M.J., Walker, A.P., Worth, W.M.H., Classification as corrosive or irritant to skin of preparations containing acidic or alkaline substances, without testing on animals, Engleska, 1988.</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234" w:anchor="ntc10-C_2018124HR.01008701-E0010"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10</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Prilagođeno na temelju Smjernica Ujedinjene Kraljevine.</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235" w:anchor="ntc11-C_2018124HR.01008701-E0011"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11</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Vidjeti Prilog Popisu otpada (točka 2. druga alineja): „Opasno svojstvo može se ocijeniti uz pomoć koncentracije tvari u otpadu kao što je navedeno u Prilogu III. Direktivi 2008/98/EZ ili, ako Uredbom (EZ) br. 1272/2008 nije drugačije određeno, obavljanjem ispitivanja u skladu s Uredbom (EZ) br. 440/2008 ili s drugim međunarodno priznatim načinima ispitivanja i smjernicama, uzimajući u obzir članak 7. Uredbe (EZ) br. 1272/2008 u pogledu ispitivanja na životinjama i ljudima.”</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236" w:anchor="ntc12-C_2018124HR.01008701-E0012"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12</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https://eurl-ecvam.jrc.ec.europa.eu/</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237" w:anchor="ntc14-C_2018124HR.01008701-E0014"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14</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Prilagođeno na temelju Smjernica Ujedinjene Kraljevine.</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238" w:anchor="ntc15-C_2018124HR.01008701-E0015"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15</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Vidjeti Prilog Popisu otpada (točka 2. druga alineja): „Opasno svojstvo može se ocijeniti uz pomoć koncentracije tvari u otpadu kao što je navedeno u Prilogu III. Direktivi 2008/98/EZ ili, ako Uredbom (EZ) br. 1272/2008 nije drugačije određeno, obavljanjem ispitivanja u skladu s Uredbom (EZ) br. 440/2008 ili s drugim međunarodno priznatim načinima ispitivanja i smjernicama, uzimajući u obzir članak 7. Uredbe (EZ) br. 1272/2008 u pogledu ispitivanja na životinjama i ljudima.”</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239" w:anchor="ntc16-C_2018124HR.01008701-E0016"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16</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https://eurl-ecvam.jrc.ec.europa.eu/</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240" w:anchor="ntc17-C_2018124HR.01008701-E0017"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17</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Prilagođeno na temelju Smjernica Ujedinjene Kraljevine.</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241" w:anchor="ntc18-C_2018124HR.01008701-E0018"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18</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Vidjeti Prilog Popisu otpada (točka 2. druga alineja): „Opasno svojstvo može se ocijeniti uz pomoć koncentracije tvari u otpadu kao što je navedeno u Prilogu III. Direktivi 2008/98/EZ ili, ako Uredbom (EZ) br. 1272/2008 nije drugačije određeno, obavljanjem ispitivanja u skladu s Uredbom (EZ) br. 440/2008 ili s drugim međunarodno priznatim načinima ispitivanja i smjernicama, uzimajući u obzir članak 7. Uredbe (EZ) br. 1272/2008 u pogledu ispitivanja na životinjama i ljudima.”</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242" w:anchor="ntc19-C_2018124HR.01008701-E0019"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19</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https://eurl-ecvam.jrc.ec.europa.eu/</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243" w:anchor="ntc20-C_2018124HR.01008701-E0020"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20</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Prilagođeno na temelju Smjernica Ujedinjene Kraljevine.</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244" w:anchor="ntc21-C_2018124HR.01008701-E0021"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21</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Prilagođeno na temelju Smjernica Ujedinjene Kraljevine.</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245" w:anchor="ntc22-C_2018124HR.01008701-E0022"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22</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Vidjeti Prilog Popisu otpada (točka 2. druga alineja): „Opasno svojstvo može se ocijeniti uz pomoć koncentracije tvari u otpadu kao što je navedeno u Prilogu III. Direktivi 2008/98/EZ ili, ako Uredbom (EZ) br. 1272/2008 nije drugačije određeno, obavljanjem ispitivanja u skladu s Uredbom (EZ) br. 440/2008 ili s drugim međunarodno priznatim načinima ispitivanja i smjernicama, uzimajući u obzir članak 7. Uredbe (EZ) br. 1272/2008 u pogledu ispitivanja na životinjama i ljudima.”</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246" w:anchor="ntc23-C_2018124HR.01008701-E0023"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23</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Program Ujedinjenih naroda za okoliš (UNEP): Draft guidance paper on hazard characteristics H6.2 (infectious substances), 2004., dostupno na: http://archive.basel.int/meetings/cop/cop7/docs/11a1r1e.pdf</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247" w:anchor="ntc24-C_2018124HR.01008701-E0024"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24</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Više informacija u Svjetska zdravstvena organizacija, Laboratory Biosafety Manual, treće izdanje, 2004., dostupno na: http://www.who.int/csr/resources/publications/biosafety/WHO_CDS_CSR_LYO_2004_11/en/</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248" w:anchor="ntc25-C_2018124HR.01008701-E0025"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25</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Ujedinjeni narodi, Transport of dangerous goods Model Regulations Volume I, 19. revidirano izdanje, 2015., dostupno na: http://www.unece.org/trans/danger/publi/unrec/rev19/19files_e.html</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249" w:anchor="ntc26-C_2018124HR.01008701-E0026"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26</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Primjeri su preuzeti iz tablice 2.6.3.2.2.1. u Transport of dangerous goods Model Regulations Volume I, 19. revidirano izdanje.</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250" w:anchor="ntc27-C_2018124HR.01008701-E0027"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27</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Prilagođeno na temelju Smjernica Ujedinjene Kraljevine.</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251" w:anchor="ntc28-C_2018124HR.01008701-E0028"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28</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xml:space="preserve">  Vidjeti Prilog Popisu otpada (točka 2. druga alineja): „Opasno svojstvo može se ocijeniti uz pomoć koncentracije tvari u otpadu kao što je navedeno u Prilogu III. Direktivi 2008/98/EZ ili, ako Uredbom (EZ) br. 1272/2008 nije </w:t>
      </w:r>
      <w:r w:rsidR="005203CE" w:rsidRPr="005203CE">
        <w:rPr>
          <w:rFonts w:ascii="inherit" w:eastAsia="Times New Roman" w:hAnsi="inherit" w:cs="Times New Roman"/>
          <w:color w:val="000000"/>
          <w:sz w:val="19"/>
          <w:szCs w:val="19"/>
          <w:lang w:eastAsia="hr-HR"/>
        </w:rPr>
        <w:lastRenderedPageBreak/>
        <w:t>drugačije određeno, obavljanjem ispitivanja u skladu s Uredbom (EZ) br. 440/2008 ili s drugim međunarodno priznatim načinima ispitivanja i smjernicama, uzimajući u obzir članak 7. Uredbe (EZ) br. 1272/2008 u pogledu ispitivanja na životinjama i ljudima.”</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252" w:anchor="ntc29-C_2018124HR.01008701-E0029"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29</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https://eurl-ecvam.jrc.ec.europa.eu/</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253" w:anchor="ntc30-C_2018124HR.01008701-E0030"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30</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Prilagođeno na temelju Smjernica Ujedinjene Kraljevine.</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254" w:anchor="ntc31-C_2018124HR.01008701-E0031"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31</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Smjernice za pripremu uzoraka za potrebe ispitivanja mutagenosti dostupne su u dokumentu Guidelines for Preparing Environmental and Waste Samples for Mutagenicity (Ames) testing, Izvješće USEPA-e, EPA 600/4-85/058, USEPA, 1985.</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255" w:anchor="ntc32-C_2018124HR.01008701-E0032"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32</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Prilog Popisu otpada (točka 2. druga alineja): „Opasno svojstvo može se ocijeniti uz pomoć koncentracije tvari u otpadu kao što je navedeno u Prilogu III. Direktivi 2008/98/EZ ili, ako Uredbom (EZ) br. 1272/2008 nije drugačije određeno, obavljanjem ispitivanja u skladu s Uredbom (EZ) br. 440/2008 ili s drugim međunarodno priznatim načinima ispitivanja i smjernicama, uzimajući u obzir članak 7. Uredbe (EZ) br. 1272/2008 u pogledu ispitivanja na životinjama i ljudima.”</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256" w:anchor="ntc33-C_2018124HR.01008701-E0033"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33</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Prilagođeno na temelju Smjernica Ujedinjene Kraljevine.</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257" w:anchor="ntc34-C_2018124HR.01008701-E0034"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34</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Plinovi koji će vjerojatno biti oslobođeni uključuju sumporovodik, fluorovodik, ugljikov disulfid, sumporov dioksid, klor, dušikov dioksid, amonijak i vodikov cijanid.</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258" w:anchor="ntc35-C_2018124HR.01008701-E0035"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35</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Prilagođeno na temelju Smjernica Ujedinjene Kraljevine.</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259" w:anchor="ntc36-C_2018124HR.01008701-E0036"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36</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Ovo nije konačan popis takvih tvari s takvim svojstvima. Preuzeto iz Smjernica Ujedinjene Kraljevine.</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260" w:anchor="ntc37-C_2018124HR.01008701-E0037"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37</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Zaokruženo na jednu decimalu</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261" w:anchor="ntc38-C_2018124HR.01008701-E0038"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38</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Na temelju 29,3 g natrijeva hipoklorita na 100 ml (maks. topivost)</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262" w:anchor="ntc39-C_2018124HR.01008701-E0039"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39</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Potrebno je napomenuti da je institut INERIS radio na ispitnoj metodi za oznaku HP 12, vidjeti Hennebert P., Samaali I., Molina P., Waste hazard property HP 12 (emission of toxic gas in contact with water or an acid): proposition of method and first results, Zbornik radova Četvrte međunarodne konferencije o gospodarenju industrijskim i opasnim otpadom. Khania (Grčka), 2.–5.9.2014., str. 10., Verzija ažurirana odlukama iz 2014.: Hennebert P., Rebischung F., 2015. Potrebno je napomenuti i da je u Poglavlju 9. dokumenta USEPA-e Test Methods for Evaluating Solid Waste, Physical/Chemical Methods, SW-846, EPA Publication navedena metoda za određivanje „reaktivnosti” koja uključuju emisije toksičnih plinova ispuštenih u laboratorijskom okruženju.</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263" w:anchor="ntc40-C_2018124HR.01008701-E0040"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40</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Prilagođeno na temelju Smjernica Ujedinjene Kraljevine.</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264" w:anchor="ntc41-C_2018124HR.01008701-E0041"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41</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Vidjeti prilog Popisu otpada (točka 2. druga alineja): „Opasno svojstvo može se ocijeniti uz pomoć koncentracije tvari u otpadu kao što je navedeno u Prilogu III. Direktivi 2008/98/EZ ili, ako Uredbom (EZ) br. 1272/2008 nije drugačije određeno, obavljanjem ispitivanja u skladu s Uredbom (EZ) br. 440/2008 ili s drugim međunarodno priznatim načinima ispitivanja i smjernicama, uzimajući u obzir članak 7. Uredbe (EZ) br. 1272/2008 u pogledu ispitivanja na životinjama i ljudima.”</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265" w:anchor="ntc42-C_2018124HR.01008701-E0042"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42</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https://eurl-ecvam.jrc.ec.europa.eu/</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266" w:anchor="ntc43-C_2018124HR.01008701-E0043"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43</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Uredba Vijeća (EU) 2017/997 od 8. lipnja 2017. o izmjeni Priloga III. Direktivi 2008/98/EZ Europskog parlamenta i Vijeća u pogledu opasnog svojstva HP 14 „ekotoksično” (</w:t>
      </w:r>
      <w:hyperlink r:id="rId267" w:history="1">
        <w:r w:rsidR="005203CE" w:rsidRPr="005203CE">
          <w:rPr>
            <w:rFonts w:ascii="inherit" w:eastAsia="Times New Roman" w:hAnsi="inherit" w:cs="Times New Roman"/>
            <w:color w:val="0000FF"/>
            <w:sz w:val="19"/>
            <w:szCs w:val="19"/>
            <w:u w:val="single"/>
            <w:lang w:eastAsia="hr-HR"/>
          </w:rPr>
          <w:t>SL L 150, 14.6.2017., str. 1.</w:t>
        </w:r>
      </w:hyperlink>
      <w:r w:rsidR="005203CE" w:rsidRPr="005203CE">
        <w:rPr>
          <w:rFonts w:ascii="inherit" w:eastAsia="Times New Roman" w:hAnsi="inherit" w:cs="Times New Roman"/>
          <w:color w:val="000000"/>
          <w:sz w:val="19"/>
          <w:szCs w:val="19"/>
          <w:lang w:eastAsia="hr-HR"/>
        </w:rPr>
        <w:t>).</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268" w:anchor="ntc44-C_2018124HR.01008701-E0044"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44</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Potrebno je napomenuti da te granične vrijednosti treba tumačiti u kontekstu treće jednadžbe u Prilogu Uredbi Vijeća (EU) 2017/997. Ako je u istom otpadu prisutno nekoliko tvari razvrstanih u nekoliko razreda opasnosti, njihova prisutnost u pojedinačnim (ili zbrojenim) koncentracijama po šifri oznake upozorenja, u količini nižoj od navedenih graničnih vrijednosti, i dalje može rezultirati razvrstavanjem otpada kao opasnog oznakom HP 14, ovisno o rezultatu primjene jednadžbe br. 3.</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269" w:anchor="ntc45-C_2018124HR.01008701-E0045"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45</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Vidjeti Prilog Popisu otpada (točka 2. druga alineja): „Opasno svojstvo može se ocijeniti uz pomoć koncentracije tvari u otpadu kao što je navedeno u Prilogu III. Direktivi 2008/98/EZ ili, ako Uredbom (EZ) br. 1272/2008 nije drugačije određeno, obavljanjem ispitivanja u skladu s Uredbom (EZ) br. 440/2008 ili s drugim međunarodno priznatim načinima ispitivanja i smjernicama, uzimajući u obzir članak 7. Uredbe (EZ) br. 1272/2008 u pogledu ispitivanja na životinjama i ljudima.”</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270" w:anchor="ntc46-C_2018124HR.01008701-E0046"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46</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Prilagođeno na temelju Smjernica Ujedinjene Kraljevine.</w:t>
      </w:r>
    </w:p>
    <w:p w:rsidR="005203CE" w:rsidRPr="005203CE" w:rsidRDefault="00144F85" w:rsidP="005203CE">
      <w:pPr>
        <w:spacing w:before="120" w:after="120" w:line="240" w:lineRule="auto"/>
        <w:rPr>
          <w:rFonts w:eastAsia="Times New Roman" w:cs="Times New Roman"/>
          <w:szCs w:val="24"/>
          <w:lang w:eastAsia="hr-HR"/>
        </w:rPr>
      </w:pPr>
      <w:r>
        <w:rPr>
          <w:rFonts w:eastAsia="Times New Roman" w:cs="Times New Roman"/>
          <w:szCs w:val="24"/>
          <w:lang w:eastAsia="hr-HR"/>
        </w:rPr>
        <w:pict>
          <v:rect id="_x0000_i1033" style="width:138.8pt;height:.75pt" o:hrpct="0" o:hralign="center" o:hrstd="t" o:hrnoshade="t" o:hr="t" fillcolor="black" stroked="f"/>
        </w:pict>
      </w:r>
    </w:p>
    <w:p w:rsidR="005203CE" w:rsidRPr="005203CE" w:rsidRDefault="005203CE" w:rsidP="005203CE">
      <w:pPr>
        <w:spacing w:before="240" w:after="120" w:line="240" w:lineRule="auto"/>
        <w:jc w:val="center"/>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PRILOG 4.</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Uzorkovanje i kemijska analiza otpada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 xml:space="preserve">U brojnim će slučajevima biti dostupne dostatne informacije o predmetnom otpadu bez potrebe za uzorkovanjem, kemijskom analizom i ispitivanjem (vidjeti Prilog 2. za izvore informacija osim uzorkovanja i kemijske analize otpada). Za slučajeve kad je potrebno uzorkovanje i/ili kemijska analiza, ovaj Prilog predstavlja kratak pregled za uzorkovanje otpada u skladu s </w:t>
      </w:r>
      <w:r w:rsidRPr="005203CE">
        <w:rPr>
          <w:rFonts w:ascii="inherit" w:eastAsia="Times New Roman" w:hAnsi="inherit" w:cs="Times New Roman"/>
          <w:color w:val="000000"/>
          <w:szCs w:val="24"/>
          <w:lang w:eastAsia="hr-HR"/>
        </w:rPr>
        <w:lastRenderedPageBreak/>
        <w:t>europskim normama, uz navođenje osnovnih pojmova. Dodatne pojedinosti dostupne su u navedenim normama. Osim toga, ovaj Prilog sadržava odjeljak s dodatnim informacijama o posebnim pitanjima kemijske analize otpada i upućivanjima na njih.</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4.1.    </w:t>
      </w:r>
      <w:r w:rsidRPr="005203CE">
        <w:rPr>
          <w:rFonts w:ascii="inherit" w:eastAsia="Times New Roman" w:hAnsi="inherit" w:cs="Times New Roman"/>
          <w:b/>
          <w:bCs/>
          <w:i/>
          <w:iCs/>
          <w:color w:val="000000"/>
          <w:szCs w:val="24"/>
          <w:lang w:eastAsia="hr-HR"/>
        </w:rPr>
        <w:t>Uzorkovanje</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Loše uzorkovanje jedan je od čimbenika kojima se narušava pouzdanost razvrstavanja otpada. Stoga se snažno preporuča da se uzorkovanje za potrebe razvrstavanja otpada provede u skladu s dostupnim normama CEN, kako su prikazane u nastavku.</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4.1.1.   </w:t>
      </w:r>
      <w:r w:rsidRPr="005203CE">
        <w:rPr>
          <w:rFonts w:ascii="inherit" w:eastAsia="Times New Roman" w:hAnsi="inherit" w:cs="Times New Roman"/>
          <w:b/>
          <w:bCs/>
          <w:i/>
          <w:iCs/>
          <w:color w:val="000000"/>
          <w:szCs w:val="24"/>
          <w:lang w:eastAsia="hr-HR"/>
        </w:rPr>
        <w:t>Okvir za uzorkovanje</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Europski odbor za normizaciju (CEN) putem svojeg tehničkog odbora TC 292 izradio je nekoliko normi, tehničkih izvješća/specifikacija i najsuvremenijih dokumenata za karakterizaciju otpada. Dostupne dokumente potrebno je uzeti u obzir na usklađen način. Sljedeći popis sadržava odgovarajuće standardne dokumente o „karakterizaciji otpada – uzorkovanje otpadnih materijala”:</w:t>
      </w:r>
    </w:p>
    <w:tbl>
      <w:tblPr>
        <w:tblW w:w="5000" w:type="pct"/>
        <w:tblCellSpacing w:w="0" w:type="dxa"/>
        <w:tblCellMar>
          <w:left w:w="0" w:type="dxa"/>
          <w:right w:w="0" w:type="dxa"/>
        </w:tblCellMar>
        <w:tblLook w:val="04A0" w:firstRow="1" w:lastRow="0" w:firstColumn="1" w:lastColumn="0" w:noHBand="0" w:noVBand="1"/>
      </w:tblPr>
      <w:tblGrid>
        <w:gridCol w:w="445"/>
        <w:gridCol w:w="8627"/>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b/>
                <w:bCs/>
                <w:szCs w:val="24"/>
                <w:lang w:eastAsia="hr-HR"/>
              </w:rPr>
              <w:t>EN 14899</w:t>
            </w:r>
          </w:p>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Okvir za pripremu i primjenu plana uzorkovanja</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301"/>
        <w:gridCol w:w="8771"/>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b/>
                <w:bCs/>
                <w:szCs w:val="24"/>
                <w:lang w:eastAsia="hr-HR"/>
              </w:rPr>
              <w:t>CEN/TR 15310-1:2006</w:t>
            </w:r>
          </w:p>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Upute za odabir i primjenu kriterija za uzorkovanje u različitim uvjetima</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699"/>
        <w:gridCol w:w="8373"/>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b/>
                <w:bCs/>
                <w:szCs w:val="24"/>
                <w:lang w:eastAsia="hr-HR"/>
              </w:rPr>
              <w:t>CEN/TR 15310-2:2006</w:t>
            </w:r>
          </w:p>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Upute za tehnike uzorkovanja</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475"/>
        <w:gridCol w:w="8597"/>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b/>
                <w:bCs/>
                <w:szCs w:val="24"/>
                <w:lang w:eastAsia="hr-HR"/>
              </w:rPr>
              <w:t>CEN/TR 15310-3:2006</w:t>
            </w:r>
          </w:p>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Upute za postupke poduzorkovanja na terenu</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91"/>
        <w:gridCol w:w="8781"/>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b/>
                <w:bCs/>
                <w:szCs w:val="24"/>
                <w:lang w:eastAsia="hr-HR"/>
              </w:rPr>
              <w:t>CEN/TR 15310-4:2006</w:t>
            </w:r>
          </w:p>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Upute za postupke pakiranja, pohrane, čuvanja, prijevoza i dostave uzoraka</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597"/>
        <w:gridCol w:w="8475"/>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b/>
                <w:bCs/>
                <w:szCs w:val="24"/>
                <w:lang w:eastAsia="hr-HR"/>
              </w:rPr>
              <w:t>CEN/TR 15310-5:2006</w:t>
            </w:r>
          </w:p>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Upute za izradu plana uzorkovanja.</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Za dobivanje točnih i reprezentativnih rezultata potrebno je prije uzimanja prvog uzorka donijeti program ispitivanja. Na taj se način osigurava da su uzeti u obzir svi potrebni čimbenici kako bi se omogućili reprezentativni zaključci za cjelokupni otpad na temelju uzorka ili više njih. Normom EN 14899 detaljno se opisuje program ispitivanja. Utvrđeno je sedam koraka, koji su prikazani na slici 21.</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Prihvatljivi su alternativni postupci uzorkovanja ako su njima uzeti u obzir odgovarajući čimbenici utvrđeni u prethodno navedenim normama te ako proizvode jednako pouzdane rezultate.</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noProof/>
          <w:color w:val="000000"/>
          <w:szCs w:val="24"/>
          <w:lang w:eastAsia="hr-HR"/>
        </w:rPr>
        <w:lastRenderedPageBreak/>
        <w:drawing>
          <wp:inline distT="0" distB="0" distL="0" distR="0">
            <wp:extent cx="6067425" cy="8639175"/>
            <wp:effectExtent l="0" t="0" r="9525" b="9525"/>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6067425" cy="8639175"/>
                    </a:xfrm>
                    <a:prstGeom prst="rect">
                      <a:avLst/>
                    </a:prstGeom>
                    <a:noFill/>
                    <a:ln>
                      <a:noFill/>
                    </a:ln>
                  </pic:spPr>
                </pic:pic>
              </a:graphicData>
            </a:graphic>
          </wp:inline>
        </w:drawing>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lastRenderedPageBreak/>
        <w:t>4.1.2.   </w:t>
      </w:r>
      <w:r w:rsidRPr="005203CE">
        <w:rPr>
          <w:rFonts w:ascii="inherit" w:eastAsia="Times New Roman" w:hAnsi="inherit" w:cs="Times New Roman"/>
          <w:b/>
          <w:bCs/>
          <w:i/>
          <w:iCs/>
          <w:color w:val="000000"/>
          <w:szCs w:val="24"/>
          <w:lang w:eastAsia="hr-HR"/>
        </w:rPr>
        <w:t>Metodologija uzorkovanja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Budući da je na slici 21. obuhvaćen cjelokupan program ispitivanja u skladu s normom EN 14899:2005, općenito je potrebno detaljnije se usredotočiti na metodologiju uzorkovanja, koja se sastoji od tri ključna elementa prikazana na slici 22.:</w:t>
      </w:r>
    </w:p>
    <w:tbl>
      <w:tblPr>
        <w:tblW w:w="5000" w:type="pct"/>
        <w:tblCellSpacing w:w="0" w:type="dxa"/>
        <w:tblCellMar>
          <w:left w:w="0" w:type="dxa"/>
          <w:right w:w="0" w:type="dxa"/>
        </w:tblCellMar>
        <w:tblLook w:val="04A0" w:firstRow="1" w:lastRow="0" w:firstColumn="1" w:lastColumn="0" w:noHBand="0" w:noVBand="1"/>
      </w:tblPr>
      <w:tblGrid>
        <w:gridCol w:w="614"/>
        <w:gridCol w:w="8458"/>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1.</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izrada plana uzorkovanja;</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87"/>
        <w:gridCol w:w="8785"/>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2.</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uzimanje uzorka s terena u skladu s planom uzorkovanja;</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364"/>
        <w:gridCol w:w="8708"/>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3.</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prijevoz laboratorijskog uzorka u laboratorij.</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Svaki je ključni element podijeljen u dodatne podelemente koje je potrebno slijediti kako bi se dobili standardizirani rezultati uzorkovanja.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Osobito je kod izrade plana uzorkovanja potrebno izvršiti nekoliko koraka. Informativni predložak za plan uzorkovanja prikazan je u Prilogu A za normu EN 14899:2005. Na slici 22. prikazani su svi podelementi u skladu s normom EN 14899:2005 i upućivanja na odgovarajuće tehničko izvješće u kojem su dostupne detaljnije informacije. Potrebno je napomenuti da sliku 22. (ključne elemente uključujući definiciju plana uzorkovanja) treba uzeti u obzir kao detaljniji segment cjelokupnog programa ispitivanja, kako je prikazano na slici 21.</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Isto tako treba napomenuti da se u okviru norme EN 15002:2015 pružaju dodatne upute o načinu pripreme uzoraka za ispitivanje iz laboratorijskog uzorka (vidjeti 4. korak na slici 21.), što će biti sljedeći korak nakon pripreme i primjene metodologije uzorkovanja, kako će biti detaljno prikazano na slici 22.).</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noProof/>
          <w:color w:val="000000"/>
          <w:szCs w:val="24"/>
          <w:lang w:eastAsia="hr-HR"/>
        </w:rPr>
        <w:lastRenderedPageBreak/>
        <w:drawing>
          <wp:inline distT="0" distB="0" distL="0" distR="0">
            <wp:extent cx="6000750" cy="8791575"/>
            <wp:effectExtent l="0" t="0" r="0" b="9525"/>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000750" cy="8791575"/>
                    </a:xfrm>
                    <a:prstGeom prst="rect">
                      <a:avLst/>
                    </a:prstGeom>
                    <a:noFill/>
                    <a:ln>
                      <a:noFill/>
                    </a:ln>
                  </pic:spPr>
                </pic:pic>
              </a:graphicData>
            </a:graphic>
          </wp:inline>
        </w:drawing>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lastRenderedPageBreak/>
        <w:t>4.1.3.   </w:t>
      </w:r>
      <w:r w:rsidRPr="005203CE">
        <w:rPr>
          <w:rFonts w:ascii="inherit" w:eastAsia="Times New Roman" w:hAnsi="inherit" w:cs="Times New Roman"/>
          <w:b/>
          <w:bCs/>
          <w:i/>
          <w:iCs/>
          <w:color w:val="000000"/>
          <w:szCs w:val="24"/>
          <w:lang w:eastAsia="hr-HR"/>
        </w:rPr>
        <w:t>Norme uzorkovanja za različite vrste otpada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Otpad može biti prisutan u širokom rasponu sastava i konzistencije. Kako bi se osigurali pouzdani rezultati, metode uzorkovanja potrebno je prilagoditi prirodi otpada koji će se uzorkovati. Normom CEN/TR 15310-2:2006 pružaju se detaljne informacije o metodama i tehnikama uzorkovanja za različite vrste otpada uzimajući u obzir različite okolnosti. Navode se sljedeći materijali:</w:t>
      </w:r>
    </w:p>
    <w:tbl>
      <w:tblPr>
        <w:tblW w:w="5000" w:type="pct"/>
        <w:tblCellSpacing w:w="0" w:type="dxa"/>
        <w:tblCellMar>
          <w:left w:w="0" w:type="dxa"/>
          <w:right w:w="0" w:type="dxa"/>
        </w:tblCellMar>
        <w:tblLook w:val="04A0" w:firstRow="1" w:lastRow="0" w:firstColumn="1" w:lastColumn="0" w:noHBand="0" w:noVBand="1"/>
      </w:tblPr>
      <w:tblGrid>
        <w:gridCol w:w="695"/>
        <w:gridCol w:w="8377"/>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mobilne ili viskozne tekućine,</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765"/>
        <w:gridCol w:w="8307"/>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muljevi ili tvari nalik pasti,</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715"/>
        <w:gridCol w:w="8357"/>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granule praška i mali kristali,</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679"/>
        <w:gridCol w:w="8393"/>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grube ili grudičaste krute tvari.</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Za većinu tih materijala u okviru norme CEN/TR 15310-2:2006 navode se sljedeći načini na koje se otpad može pohraniti ili na drugi način biti dostupan za uzorkovanje:</w:t>
      </w:r>
    </w:p>
    <w:tbl>
      <w:tblPr>
        <w:tblW w:w="5000" w:type="pct"/>
        <w:tblCellSpacing w:w="0" w:type="dxa"/>
        <w:tblCellMar>
          <w:left w:w="0" w:type="dxa"/>
          <w:right w:w="0" w:type="dxa"/>
        </w:tblCellMar>
        <w:tblLook w:val="04A0" w:firstRow="1" w:lastRow="0" w:firstColumn="1" w:lastColumn="0" w:noHBand="0" w:noVBand="1"/>
      </w:tblPr>
      <w:tblGrid>
        <w:gridCol w:w="265"/>
        <w:gridCol w:w="8807"/>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sanduci, vreće, bačve, blokovi, burad ili mali ili fleksibilni spremnici sa stjenkama,</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311"/>
        <w:gridCol w:w="8761"/>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uspravni ravnomjerni ili nepravilni ili vodoravni cilindrični spremnici,</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680"/>
        <w:gridCol w:w="839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mobilne tekućine u cjevovodu,</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261"/>
        <w:gridCol w:w="7811"/>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lagune ili jame,</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283"/>
        <w:gridCol w:w="8789"/>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lijevci, hrpe, gomilanje i silosi, padajući tokovi te tračni ili pužni transporteri,</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800"/>
        <w:gridCol w:w="8272"/>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masivni ili veliki dijelovi.</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Dodatno, normom </w:t>
      </w:r>
      <w:r w:rsidRPr="005203CE">
        <w:rPr>
          <w:rFonts w:ascii="inherit" w:eastAsia="Times New Roman" w:hAnsi="inherit" w:cs="Times New Roman"/>
          <w:b/>
          <w:bCs/>
          <w:color w:val="000000"/>
          <w:szCs w:val="24"/>
          <w:lang w:eastAsia="hr-HR"/>
        </w:rPr>
        <w:t>CEN/TR 15310-3:2006</w:t>
      </w:r>
      <w:r w:rsidRPr="005203CE">
        <w:rPr>
          <w:rFonts w:ascii="inherit" w:eastAsia="Times New Roman" w:hAnsi="inherit" w:cs="Times New Roman"/>
          <w:color w:val="000000"/>
          <w:szCs w:val="24"/>
          <w:lang w:eastAsia="hr-HR"/>
        </w:rPr>
        <w:t> opisuju se odgovarajući aspekti za pripremu uzorkovanja i poduzorkovanja na terenu uzimajući u obzir različite konzistencije predmetnog otpada.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Potrebno je napomenuti da postoji mogućnost da su dodatne tehničke smjernice za metode uzorkovanja otpada dostupne na razini pojedine države članice.</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4.1.4.   </w:t>
      </w:r>
      <w:r w:rsidRPr="005203CE">
        <w:rPr>
          <w:rFonts w:ascii="inherit" w:eastAsia="Times New Roman" w:hAnsi="inherit" w:cs="Times New Roman"/>
          <w:b/>
          <w:bCs/>
          <w:i/>
          <w:iCs/>
          <w:color w:val="000000"/>
          <w:szCs w:val="24"/>
          <w:lang w:eastAsia="hr-HR"/>
        </w:rPr>
        <w:t>Strategije uzorkovanja za postupanje u pogledu homogenosti/heterogenosti</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Osnovni uvjet za dobivanje pouzdanih rezultata uzorkovanja jest da uzorci budu reprezentativni u pogledu sastava otpada. To je često komplicirano kad je riječ o otpadu jer, s jedne strane, onečišćujuće tvari mogu biti nehomogeno raspoređene u otpadu, a, s druge strane, određeni otpad pokazuje i heterogenu matricu.</w:t>
      </w:r>
      <w:hyperlink r:id="rId273" w:anchor="ntr1-C_2018124HR.01012401-E0001"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1</w:t>
        </w:r>
        <w:r w:rsidRPr="005203CE">
          <w:rPr>
            <w:rFonts w:ascii="inherit" w:eastAsia="Times New Roman" w:hAnsi="inherit" w:cs="Times New Roman"/>
            <w:color w:val="0000FF"/>
            <w:szCs w:val="24"/>
            <w:u w:val="single"/>
            <w:lang w:eastAsia="hr-HR"/>
          </w:rPr>
          <w:t>)</w:t>
        </w:r>
      </w:hyperlink>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Na temelju norme EN 14899:2005 heterogenost je stupanj u kojem je jedan sastojak neravnomjerno raspoređen u otpadu koji će se uzorkovati. Suprotno tome, homogenost se može smatrati stupnjem u kojem je jedan sastojak ravnomjerno raspoređen u otpadu koji će se uzorkovati.</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lastRenderedPageBreak/>
        <w:t>Mogu postojati posebne tehničke smjernice za pojedinu državu članicu u kojima se navode dodatne informacije o strategijama uzorkovanja kojima se u obzir uzima heterogenost otpada.</w:t>
      </w:r>
      <w:hyperlink r:id="rId274" w:anchor="ntr2-C_2018124HR.01012401-E0002"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2</w:t>
        </w:r>
        <w:r w:rsidRPr="005203CE">
          <w:rPr>
            <w:rFonts w:ascii="inherit" w:eastAsia="Times New Roman" w:hAnsi="inherit" w:cs="Times New Roman"/>
            <w:color w:val="0000FF"/>
            <w:szCs w:val="24"/>
            <w:u w:val="single"/>
            <w:lang w:eastAsia="hr-HR"/>
          </w:rPr>
          <w:t>)</w:t>
        </w:r>
      </w:hyperlink>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Ako se heterogenost otpada svede na najmanju moguću mjeru, normom CEN/TR 15310-1:2006 te djelomično i normom CEN/TR 15310-2:2006 omogućuje se cjelovit pregled strategija uzorkovanja za postupanje u pogledu heterogenih i homogenih vrsta otpada. Važno je plan uzorkovanja prilagoditi heterogenosti otpada koji će se uzorkovati.</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4.1.5.   </w:t>
      </w:r>
      <w:r w:rsidRPr="005203CE">
        <w:rPr>
          <w:rFonts w:ascii="inherit" w:eastAsia="Times New Roman" w:hAnsi="inherit" w:cs="Times New Roman"/>
          <w:b/>
          <w:bCs/>
          <w:i/>
          <w:iCs/>
          <w:color w:val="000000"/>
          <w:szCs w:val="24"/>
          <w:lang w:eastAsia="hr-HR"/>
        </w:rPr>
        <w:t>Statistički pristup uzorkovanja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Cjelokupan statistički pristup uzorkovanja, uključujući statističke osnove koje se primjenjuju za poseban slučaj uzorkovanja otpada, opisan je u normi CEN/TR 15310-1:2006. Izvadak prikazanih informacija u tehničkom izvješću nalazi se u nastavku:</w:t>
      </w:r>
    </w:p>
    <w:tbl>
      <w:tblPr>
        <w:tblW w:w="5000" w:type="pct"/>
        <w:tblCellSpacing w:w="0" w:type="dxa"/>
        <w:tblCellMar>
          <w:left w:w="0" w:type="dxa"/>
          <w:right w:w="0" w:type="dxa"/>
        </w:tblCellMar>
        <w:tblLook w:val="04A0" w:firstRow="1" w:lastRow="0" w:firstColumn="1" w:lastColumn="0" w:noHBand="0" w:noVBand="1"/>
      </w:tblPr>
      <w:tblGrid>
        <w:gridCol w:w="521"/>
        <w:gridCol w:w="8551"/>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Određivanje otpada koji će se uzorkovati</w:t>
            </w:r>
          </w:p>
          <w:tbl>
            <w:tblPr>
              <w:tblW w:w="5000" w:type="pct"/>
              <w:tblCellSpacing w:w="0" w:type="dxa"/>
              <w:tblCellMar>
                <w:left w:w="0" w:type="dxa"/>
                <w:right w:w="0" w:type="dxa"/>
              </w:tblCellMar>
              <w:tblLook w:val="04A0" w:firstRow="1" w:lastRow="0" w:firstColumn="1" w:lastColumn="0" w:noHBand="0" w:noVBand="1"/>
            </w:tblPr>
            <w:tblGrid>
              <w:gridCol w:w="1287"/>
              <w:gridCol w:w="7264"/>
            </w:tblGrid>
            <w:tr w:rsidR="005203CE" w:rsidRP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Ukupan otpad</w:t>
                  </w:r>
                </w:p>
              </w:tc>
            </w:tr>
          </w:tbl>
          <w:p w:rsidR="005203CE" w:rsidRPr="005203CE" w:rsidRDefault="005203CE" w:rsidP="005203CE">
            <w:pPr>
              <w:spacing w:after="0" w:line="240" w:lineRule="auto"/>
              <w:rPr>
                <w:rFonts w:ascii="inherit" w:eastAsia="Times New Roman" w:hAnsi="inherit"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996"/>
              <w:gridCol w:w="7555"/>
            </w:tblGrid>
            <w:tr w:rsidR="005203CE" w:rsidRP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Podskupina otpada</w:t>
                  </w:r>
                </w:p>
              </w:tc>
            </w:tr>
          </w:tbl>
          <w:p w:rsidR="005203CE" w:rsidRPr="005203CE" w:rsidRDefault="005203CE" w:rsidP="005203CE">
            <w:pPr>
              <w:spacing w:after="0" w:line="240" w:lineRule="auto"/>
              <w:rPr>
                <w:rFonts w:ascii="inherit" w:eastAsia="Times New Roman" w:hAnsi="inherit" w:cs="Times New Roman"/>
                <w:szCs w:val="24"/>
                <w:lang w:eastAsia="hr-HR"/>
              </w:rPr>
            </w:pP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769"/>
        <w:gridCol w:w="8303"/>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Varijabilnost</w:t>
            </w:r>
          </w:p>
          <w:tbl>
            <w:tblPr>
              <w:tblW w:w="5000" w:type="pct"/>
              <w:tblCellSpacing w:w="0" w:type="dxa"/>
              <w:tblCellMar>
                <w:left w:w="0" w:type="dxa"/>
                <w:right w:w="0" w:type="dxa"/>
              </w:tblCellMar>
              <w:tblLook w:val="04A0" w:firstRow="1" w:lastRow="0" w:firstColumn="1" w:lastColumn="0" w:noHBand="0" w:noVBand="1"/>
            </w:tblPr>
            <w:tblGrid>
              <w:gridCol w:w="823"/>
              <w:gridCol w:w="7480"/>
            </w:tblGrid>
            <w:tr w:rsidR="005203CE" w:rsidRP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Prostorna varijabilnost</w:t>
                  </w:r>
                </w:p>
              </w:tc>
            </w:tr>
          </w:tbl>
          <w:p w:rsidR="005203CE" w:rsidRPr="005203CE" w:rsidRDefault="005203CE" w:rsidP="005203CE">
            <w:pPr>
              <w:spacing w:after="0" w:line="240" w:lineRule="auto"/>
              <w:rPr>
                <w:rFonts w:ascii="inherit" w:eastAsia="Times New Roman" w:hAnsi="inherit"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768"/>
              <w:gridCol w:w="7535"/>
            </w:tblGrid>
            <w:tr w:rsidR="005203CE" w:rsidRP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Vremenska varijabilnost</w:t>
                  </w:r>
                </w:p>
              </w:tc>
            </w:tr>
          </w:tbl>
          <w:p w:rsidR="005203CE" w:rsidRPr="005203CE" w:rsidRDefault="005203CE" w:rsidP="005203CE">
            <w:pPr>
              <w:spacing w:after="0" w:line="240" w:lineRule="auto"/>
              <w:rPr>
                <w:rFonts w:ascii="inherit" w:eastAsia="Times New Roman" w:hAnsi="inherit"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856"/>
              <w:gridCol w:w="7447"/>
            </w:tblGrid>
            <w:tr w:rsidR="005203CE" w:rsidRP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Slučajna varijabilnost</w:t>
                  </w:r>
                </w:p>
              </w:tc>
            </w:tr>
          </w:tbl>
          <w:p w:rsidR="005203CE" w:rsidRPr="005203CE" w:rsidRDefault="005203CE" w:rsidP="005203CE">
            <w:pPr>
              <w:spacing w:after="0" w:line="240" w:lineRule="auto"/>
              <w:rPr>
                <w:rFonts w:ascii="inherit" w:eastAsia="Times New Roman" w:hAnsi="inherit" w:cs="Times New Roman"/>
                <w:szCs w:val="24"/>
                <w:lang w:eastAsia="hr-HR"/>
              </w:rPr>
            </w:pP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584"/>
        <w:gridCol w:w="8488"/>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Različiti pristupi uzorkovanja</w:t>
            </w:r>
          </w:p>
          <w:tbl>
            <w:tblPr>
              <w:tblW w:w="5000" w:type="pct"/>
              <w:tblCellSpacing w:w="0" w:type="dxa"/>
              <w:tblCellMar>
                <w:left w:w="0" w:type="dxa"/>
                <w:right w:w="0" w:type="dxa"/>
              </w:tblCellMar>
              <w:tblLook w:val="04A0" w:firstRow="1" w:lastRow="0" w:firstColumn="1" w:lastColumn="0" w:noHBand="0" w:noVBand="1"/>
            </w:tblPr>
            <w:tblGrid>
              <w:gridCol w:w="693"/>
              <w:gridCol w:w="7795"/>
            </w:tblGrid>
            <w:tr w:rsidR="005203CE" w:rsidRP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Probabilističko uzorkovanje</w:t>
                  </w:r>
                </w:p>
              </w:tc>
            </w:tr>
          </w:tbl>
          <w:p w:rsidR="005203CE" w:rsidRPr="005203CE" w:rsidRDefault="005203CE" w:rsidP="005203CE">
            <w:pPr>
              <w:spacing w:after="0" w:line="240" w:lineRule="auto"/>
              <w:rPr>
                <w:rFonts w:ascii="inherit" w:eastAsia="Times New Roman" w:hAnsi="inherit"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584"/>
              <w:gridCol w:w="7904"/>
            </w:tblGrid>
            <w:tr w:rsidR="005203CE" w:rsidRP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Uzorkovanje na temelju prosudbe</w:t>
                  </w:r>
                </w:p>
              </w:tc>
            </w:tr>
          </w:tbl>
          <w:p w:rsidR="005203CE" w:rsidRPr="005203CE" w:rsidRDefault="005203CE" w:rsidP="005203CE">
            <w:pPr>
              <w:spacing w:after="0" w:line="240" w:lineRule="auto"/>
              <w:rPr>
                <w:rFonts w:ascii="inherit" w:eastAsia="Times New Roman" w:hAnsi="inherit" w:cs="Times New Roman"/>
                <w:szCs w:val="24"/>
                <w:lang w:eastAsia="hr-HR"/>
              </w:rPr>
            </w:pP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577"/>
        <w:gridCol w:w="8495"/>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Obrasci uzorkovanja</w:t>
            </w:r>
          </w:p>
          <w:tbl>
            <w:tblPr>
              <w:tblW w:w="5000" w:type="pct"/>
              <w:tblCellSpacing w:w="0" w:type="dxa"/>
              <w:tblCellMar>
                <w:left w:w="0" w:type="dxa"/>
                <w:right w:w="0" w:type="dxa"/>
              </w:tblCellMar>
              <w:tblLook w:val="04A0" w:firstRow="1" w:lastRow="0" w:firstColumn="1" w:lastColumn="0" w:noHBand="0" w:noVBand="1"/>
            </w:tblPr>
            <w:tblGrid>
              <w:gridCol w:w="577"/>
              <w:gridCol w:w="7918"/>
            </w:tblGrid>
            <w:tr w:rsidR="005203CE" w:rsidRP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Jednostavno slučajno uzorkovanje</w:t>
                  </w:r>
                </w:p>
              </w:tc>
            </w:tr>
          </w:tbl>
          <w:p w:rsidR="005203CE" w:rsidRPr="005203CE" w:rsidRDefault="005203CE" w:rsidP="005203CE">
            <w:pPr>
              <w:spacing w:after="0" w:line="240" w:lineRule="auto"/>
              <w:rPr>
                <w:rFonts w:ascii="inherit" w:eastAsia="Times New Roman" w:hAnsi="inherit"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617"/>
              <w:gridCol w:w="7878"/>
            </w:tblGrid>
            <w:tr w:rsidR="005203CE" w:rsidRP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Raslojeno slučajno uzorkovanje</w:t>
                  </w:r>
                </w:p>
              </w:tc>
            </w:tr>
          </w:tbl>
          <w:p w:rsidR="005203CE" w:rsidRPr="005203CE" w:rsidRDefault="005203CE" w:rsidP="005203CE">
            <w:pPr>
              <w:spacing w:after="0" w:line="240" w:lineRule="auto"/>
              <w:rPr>
                <w:rFonts w:ascii="inherit" w:eastAsia="Times New Roman" w:hAnsi="inherit"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861"/>
              <w:gridCol w:w="7634"/>
            </w:tblGrid>
            <w:tr w:rsidR="005203CE" w:rsidRP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Sustavno uzorkovanje</w:t>
                  </w:r>
                </w:p>
              </w:tc>
            </w:tr>
          </w:tbl>
          <w:p w:rsidR="005203CE" w:rsidRPr="005203CE" w:rsidRDefault="005203CE" w:rsidP="005203CE">
            <w:pPr>
              <w:spacing w:after="0" w:line="240" w:lineRule="auto"/>
              <w:rPr>
                <w:rFonts w:ascii="inherit" w:eastAsia="Times New Roman" w:hAnsi="inherit" w:cs="Times New Roman"/>
                <w:vanish/>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585"/>
              <w:gridCol w:w="7910"/>
            </w:tblGrid>
            <w:tr w:rsidR="005203CE" w:rsidRP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Uzorkovanje na temelju prosudbe</w:t>
                  </w:r>
                </w:p>
              </w:tc>
            </w:tr>
          </w:tbl>
          <w:p w:rsidR="005203CE" w:rsidRPr="005203CE" w:rsidRDefault="005203CE" w:rsidP="005203CE">
            <w:pPr>
              <w:spacing w:after="0" w:line="240" w:lineRule="auto"/>
              <w:rPr>
                <w:rFonts w:ascii="inherit" w:eastAsia="Times New Roman" w:hAnsi="inherit" w:cs="Times New Roman"/>
                <w:szCs w:val="24"/>
                <w:lang w:eastAsia="hr-HR"/>
              </w:rPr>
            </w:pP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1233"/>
        <w:gridCol w:w="7839"/>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Veličina uzorka</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876"/>
        <w:gridCol w:w="8196"/>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Učestalost uzorkovanja</w:t>
            </w:r>
          </w:p>
        </w:tc>
      </w:tr>
    </w:tbl>
    <w:p w:rsidR="005203CE" w:rsidRPr="005203CE" w:rsidRDefault="005203CE" w:rsidP="005203CE">
      <w:pPr>
        <w:spacing w:after="0" w:line="240" w:lineRule="auto"/>
        <w:rPr>
          <w:rFonts w:eastAsia="Times New Roman" w:cs="Times New Roman"/>
          <w:vanish/>
          <w:color w:val="000000"/>
          <w:szCs w:val="24"/>
          <w:lang w:eastAsia="hr-HR"/>
        </w:rPr>
      </w:pPr>
    </w:p>
    <w:tbl>
      <w:tblPr>
        <w:tblW w:w="5000" w:type="pct"/>
        <w:tblCellSpacing w:w="0" w:type="dxa"/>
        <w:tblCellMar>
          <w:left w:w="0" w:type="dxa"/>
          <w:right w:w="0" w:type="dxa"/>
        </w:tblCellMar>
        <w:tblLook w:val="04A0" w:firstRow="1" w:lastRow="0" w:firstColumn="1" w:lastColumn="0" w:noHBand="0" w:noVBand="1"/>
      </w:tblPr>
      <w:tblGrid>
        <w:gridCol w:w="594"/>
        <w:gridCol w:w="8478"/>
      </w:tblGrid>
      <w:tr w:rsidR="005203CE" w:rsidRPr="005203CE" w:rsidT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lastRenderedPageBreak/>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Pouzdanost rezultata uzorkovanja</w:t>
            </w:r>
          </w:p>
          <w:tbl>
            <w:tblPr>
              <w:tblW w:w="5000" w:type="pct"/>
              <w:tblCellSpacing w:w="0" w:type="dxa"/>
              <w:tblCellMar>
                <w:left w:w="0" w:type="dxa"/>
                <w:right w:w="0" w:type="dxa"/>
              </w:tblCellMar>
              <w:tblLook w:val="04A0" w:firstRow="1" w:lastRow="0" w:firstColumn="1" w:lastColumn="0" w:noHBand="0" w:noVBand="1"/>
            </w:tblPr>
            <w:tblGrid>
              <w:gridCol w:w="594"/>
              <w:gridCol w:w="7884"/>
            </w:tblGrid>
            <w:tr w:rsidR="005203CE" w:rsidRPr="005203CE">
              <w:trPr>
                <w:tblCellSpacing w:w="0" w:type="dxa"/>
              </w:trPr>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w:t>
                  </w:r>
                </w:p>
              </w:tc>
              <w:tc>
                <w:tcPr>
                  <w:tcW w:w="0" w:type="auto"/>
                  <w:hideMark/>
                </w:tcPr>
                <w:p w:rsidR="005203CE" w:rsidRPr="005203CE" w:rsidRDefault="005203CE" w:rsidP="005203CE">
                  <w:pPr>
                    <w:spacing w:before="120" w:after="0" w:line="240" w:lineRule="auto"/>
                    <w:jc w:val="both"/>
                    <w:rPr>
                      <w:rFonts w:ascii="inherit" w:eastAsia="Times New Roman" w:hAnsi="inherit" w:cs="Times New Roman"/>
                      <w:szCs w:val="24"/>
                      <w:lang w:eastAsia="hr-HR"/>
                    </w:rPr>
                  </w:pPr>
                  <w:r w:rsidRPr="005203CE">
                    <w:rPr>
                      <w:rFonts w:ascii="inherit" w:eastAsia="Times New Roman" w:hAnsi="inherit" w:cs="Times New Roman"/>
                      <w:szCs w:val="24"/>
                      <w:lang w:eastAsia="hr-HR"/>
                    </w:rPr>
                    <w:t>Granične vrijednosti pouzdanosti</w:t>
                  </w:r>
                </w:p>
              </w:tc>
            </w:tr>
          </w:tbl>
          <w:p w:rsidR="005203CE" w:rsidRPr="005203CE" w:rsidRDefault="005203CE" w:rsidP="005203CE">
            <w:pPr>
              <w:spacing w:after="0" w:line="240" w:lineRule="auto"/>
              <w:rPr>
                <w:rFonts w:ascii="inherit" w:eastAsia="Times New Roman" w:hAnsi="inherit" w:cs="Times New Roman"/>
                <w:szCs w:val="24"/>
                <w:lang w:eastAsia="hr-HR"/>
              </w:rPr>
            </w:pPr>
          </w:p>
        </w:tc>
      </w:tr>
    </w:tbl>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4.2.    </w:t>
      </w:r>
      <w:r w:rsidRPr="005203CE">
        <w:rPr>
          <w:rFonts w:ascii="inherit" w:eastAsia="Times New Roman" w:hAnsi="inherit" w:cs="Times New Roman"/>
          <w:b/>
          <w:bCs/>
          <w:i/>
          <w:iCs/>
          <w:color w:val="000000"/>
          <w:szCs w:val="24"/>
          <w:lang w:eastAsia="hr-HR"/>
        </w:rPr>
        <w:t>Kemijska analiza otpada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Kako je već navedeno u Poglavlju 3.2.1. (3. korak), u nekim slučajevima informacije dobivene na temelju, primjerice, sigurnosno-tehničkog lista proizvoda koji postaje otpad, oznaka GHS, znanja o postupku nastanka otpada i drugih baza podataka nisu dostatne da bi se omogućilo ocjenjivanje opasnih svojstava predmetnog otpada. Budući da je dostatno znanje o sastavu otpada preduvjet za primjenu metode izračuna opisane u Poglavlju 3.2.2. (4. korak), može biti potrebna kemijska analiza predmetnog otpada.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Kao opća osnova informacija, tablica 25. sadržava nepotpun popis metoda CEN i normi za karakterizaciju otpada.</w:t>
      </w:r>
      <w:hyperlink r:id="rId275" w:anchor="ntr3-C_2018124HR.01012401-E0003"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3</w:t>
        </w:r>
        <w:r w:rsidRPr="005203CE">
          <w:rPr>
            <w:rFonts w:ascii="inherit" w:eastAsia="Times New Roman" w:hAnsi="inherit" w:cs="Times New Roman"/>
            <w:color w:val="0000FF"/>
            <w:szCs w:val="24"/>
            <w:u w:val="single"/>
            <w:lang w:eastAsia="hr-HR"/>
          </w:rPr>
          <w:t>)</w:t>
        </w:r>
      </w:hyperlink>
    </w:p>
    <w:p w:rsidR="005203CE" w:rsidRPr="005203CE" w:rsidRDefault="005203CE" w:rsidP="005203CE">
      <w:pPr>
        <w:spacing w:before="120" w:after="120" w:line="240" w:lineRule="auto"/>
        <w:jc w:val="center"/>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t>Tablica 25.</w:t>
      </w:r>
    </w:p>
    <w:p w:rsidR="005203CE" w:rsidRPr="005203CE" w:rsidRDefault="005203CE" w:rsidP="005203CE">
      <w:pPr>
        <w:spacing w:before="120" w:after="120" w:line="240" w:lineRule="auto"/>
        <w:jc w:val="center"/>
        <w:rPr>
          <w:rFonts w:ascii="inherit" w:eastAsia="Times New Roman" w:hAnsi="inherit" w:cs="Times New Roman"/>
          <w:color w:val="000000"/>
          <w:szCs w:val="24"/>
          <w:lang w:eastAsia="hr-HR"/>
        </w:rPr>
      </w:pPr>
      <w:r w:rsidRPr="005203CE">
        <w:rPr>
          <w:rFonts w:ascii="inherit" w:eastAsia="Times New Roman" w:hAnsi="inherit" w:cs="Times New Roman"/>
          <w:b/>
          <w:bCs/>
          <w:color w:val="000000"/>
          <w:szCs w:val="24"/>
          <w:lang w:eastAsia="hr-HR"/>
        </w:rPr>
        <w:t>Nepotpun popis metoda CEN i normi za karakterizaciju otpada</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416"/>
        <w:gridCol w:w="7640"/>
      </w:tblGrid>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Referentna norma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Naslov</w:t>
            </w:r>
          </w:p>
        </w:tc>
      </w:tr>
      <w:tr w:rsidR="005203CE" w:rsidRPr="005203CE" w:rsidTr="005203CE">
        <w:trPr>
          <w:tblCellSpacing w:w="0" w:type="dxa"/>
        </w:trPr>
        <w:tc>
          <w:tcPr>
            <w:tcW w:w="0" w:type="auto"/>
            <w:gridSpan w:val="2"/>
            <w:vAlign w:val="center"/>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Ispitivanje ispiranja</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b/>
                <w:bCs/>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CEN/TS 16660:2015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Karakterizacija otpada. Ispitivanje ponašanja u smislu ispiranja. Utvrđenja značajki smanjenja i kapaciteta smanjenja</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EN 15863:2015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Karakterizacija otpada. Ispitivanje ponašanja u smislu ispiranja za osnovnu karakterizaciju. Dinamičko ispitivanje monolitnog ispiranja s periodičnom obnovom procjedne vode pri stalnim uvjetima</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EN 14997:2015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Karakterizacija otpada. Ispitivanje ponašanja u smislu ispiranja. Utjecaj pH na ispiranje uz stalno kontroliranje pH vrijednosti</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EN 14429:2015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Karakterizacija otpada. Ispitivanje ponašanja u smislu ispiranja. Utjecaj pH vrijednosti na ispiranje uz početni dodatak kiseline/lužine</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EN 14429:2015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Karakterizacija otpada. Ispitivanje ponašanja u smislu ispiranja. Utjecaj pH vrijednosti na ispiranje uz početni dodatak kiseline/lužine</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EN 14997:2015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Karakterizacija otpada. Ispitivanje ponašanja u smislu ispiranja. Utjecaj pH na ispiranje uz stalno kontroliranje pH vrijednosti</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CEN/TS 15364:2006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Karakterizacija otpada. Ispitivanje ponašanja u smislu ispiranja. Ispitivanje kapaciteta neutralizacije kiseline i lužine</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CEN/TS 14405:2004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Karakterizacija otpada. Ispitivanje ponašanja u smislu ispiranja. Ispitivanje uzlaznog procjeđivanja (pod određenim uvjetima)</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EN 12457-1:2002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Karakterizacija otpada. Ispiranje. Ispitivanje usklađenosti za ispiranje otpadnih materijala u granulama i muljeva. Jednofazno ispitivanje serije s omjerom tekućine i krutih tvari od 2 l/kg za materijale s visokim sadržajem krutih tvari i veličinom čestica manjom od 4 mm (bez smanjenja veličine ili sa smanjenjem veličine)</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EN 12457-2:2002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Karakterizacija otpada. Ispiranje. Ispitivanje usklađenosti za ispiranje otpadnih materijala u granulama i muljeva. Jednofazno ispitivanje serije s omjerom tekućine i krutih tvari od 10 l/kg za materijale s veličinom čestica manjom od 4 mm (bez smanjenja veličine ili sa smanjenjem veličine)</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lastRenderedPageBreak/>
              <w:t>EN 12457-3:2002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Karakterizacija otpada. Ispiranje. Ispitivanje usklađenosti za ispiranje otpadnih materijala u granulama i muljeva. Ispitivanje serije u dvije faze s omjerom tekućine i krutih tvari od 2 l/kg i 8 l/kg za materijale s visokim sadržajem krutih tvari i veličinom čestica manjom od 4 mm (bez smanjenja veličine ili sa smanjenjem veličine)</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EN 12457-4:2002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Karakterizacija otpada. Ispiranje. Ispitivanje usklađenosti za ispiranje otpadnih materijala u granulama i muljeva. Jednokratno ispitivanje serije s omjerom tekućine i krutih tvari od 10 l/kg za materijale s veličinom čestica manjom od 10 mm (bez smanjenja veličine ili sa smanjenjem veličine)</w:t>
            </w:r>
          </w:p>
        </w:tc>
      </w:tr>
      <w:tr w:rsidR="005203CE" w:rsidRPr="005203CE" w:rsidTr="005203CE">
        <w:trPr>
          <w:tblCellSpacing w:w="0" w:type="dxa"/>
        </w:trPr>
        <w:tc>
          <w:tcPr>
            <w:tcW w:w="0" w:type="auto"/>
            <w:gridSpan w:val="2"/>
            <w:vAlign w:val="center"/>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Analiza spojeva</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b/>
                <w:bCs/>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EN 16377:2013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Karakterizacija otpada. Utvrđivanje bromiranih usporivača gorenja u krutom otpadu</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EN 16192:2011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Karakterizacija otpada. Analiza eluata</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EN 15216:2007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Karakterizacija otpada. Određivanje ukupne količine otopljenih krutih tvari u vodi i eluatima</w:t>
            </w:r>
          </w:p>
        </w:tc>
      </w:tr>
      <w:tr w:rsidR="005203CE" w:rsidRPr="005203CE" w:rsidTr="005203CE">
        <w:trPr>
          <w:tblCellSpacing w:w="0" w:type="dxa"/>
        </w:trPr>
        <w:tc>
          <w:tcPr>
            <w:tcW w:w="0" w:type="auto"/>
            <w:gridSpan w:val="2"/>
            <w:vAlign w:val="center"/>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Ukupni organski ugljik</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b/>
                <w:bCs/>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EN 13137:2001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Karakterizacija otpada. Određivanje ukupnog organskog ugljika u otpadu, muljevima i sedimentima</w:t>
            </w:r>
          </w:p>
        </w:tc>
      </w:tr>
      <w:tr w:rsidR="005203CE" w:rsidRPr="005203CE" w:rsidTr="005203CE">
        <w:trPr>
          <w:tblCellSpacing w:w="0" w:type="dxa"/>
        </w:trPr>
        <w:tc>
          <w:tcPr>
            <w:tcW w:w="0" w:type="auto"/>
            <w:gridSpan w:val="2"/>
            <w:vAlign w:val="center"/>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Razgradnja</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b/>
                <w:bCs/>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EN 13656:2002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Karakterizacija otpada. Razgradnja potpomognuta mikrovalovima, sa smjesom fluorovodične (HF), dušične (HNO</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 i klorovodične (HCl) kiseline za naknadno utvrđivanje elemenata</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EN 13657:2002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Karakterizacija otpada. Razgradnja zlatotopkom radi naknadnog utvrđivanja topivih elemenata</w:t>
            </w:r>
          </w:p>
        </w:tc>
      </w:tr>
      <w:tr w:rsidR="005203CE" w:rsidRPr="005203CE" w:rsidTr="005203CE">
        <w:trPr>
          <w:tblCellSpacing w:w="0" w:type="dxa"/>
        </w:trPr>
        <w:tc>
          <w:tcPr>
            <w:tcW w:w="0" w:type="auto"/>
            <w:gridSpan w:val="2"/>
            <w:vAlign w:val="center"/>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Ugljikovodici C10 do C40</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b/>
                <w:bCs/>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EN 14039:2004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Karakterizacija otpada. Utvrđivanje sadržaja ugljikovodika od C10 do C40 plinskom kromatografijom</w:t>
            </w:r>
          </w:p>
        </w:tc>
      </w:tr>
      <w:tr w:rsidR="005203CE" w:rsidRPr="005203CE" w:rsidTr="005203CE">
        <w:trPr>
          <w:tblCellSpacing w:w="0" w:type="dxa"/>
        </w:trPr>
        <w:tc>
          <w:tcPr>
            <w:tcW w:w="0" w:type="auto"/>
            <w:gridSpan w:val="2"/>
            <w:vAlign w:val="center"/>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Suha tvar</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b/>
                <w:bCs/>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EN 14346:2006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Karakterizacija otpada. Izračunavanje količine suhe tvari utvrđivanjem suhog ostatka ili sadržaja vode</w:t>
            </w:r>
          </w:p>
        </w:tc>
      </w:tr>
      <w:tr w:rsidR="005203CE" w:rsidRPr="005203CE" w:rsidTr="005203CE">
        <w:trPr>
          <w:tblCellSpacing w:w="0" w:type="dxa"/>
        </w:trPr>
        <w:tc>
          <w:tcPr>
            <w:tcW w:w="0" w:type="auto"/>
            <w:gridSpan w:val="2"/>
            <w:vAlign w:val="center"/>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Anorganski spojevi</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b/>
                <w:bCs/>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EN 14582:2007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Karakterizacija otpada. Sadržaj halogena i sumpora. Izgaranje kisika u zatvorenim sustavima i metode određivanja</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EN 15192:2006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Karakterizacija otpada i tla. Utvrđivanje kroma (VI) u krutom materijalu alkalnom razgradnjom i ionskom kromatografijom sa spektrofotometrijskim otkrivanjem</w:t>
            </w:r>
          </w:p>
        </w:tc>
      </w:tr>
      <w:tr w:rsidR="005203CE" w:rsidRPr="005203CE" w:rsidTr="005203CE">
        <w:trPr>
          <w:tblCellSpacing w:w="0" w:type="dxa"/>
        </w:trPr>
        <w:tc>
          <w:tcPr>
            <w:tcW w:w="0" w:type="auto"/>
            <w:gridSpan w:val="2"/>
            <w:vAlign w:val="center"/>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Organski spojevi</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b/>
                <w:bCs/>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lastRenderedPageBreak/>
              <w:t>EN 15308:2008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Karakterizacija otpada. Utvrđivanje odabranih polikloriranih bifenila u krutom otpadu upotrebom kapilarne plinske kromatografije s detektorom zahvata elektrona ili masenom spektrometrijskom detekcijom</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EN 15527:2008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Karakterizacija otpada. Utvrđivanje policikličkih aromatskih ugljikovodika (PAH) u otpadu uporabom plinske kromatografije/masene spektrometrije (GC/MS)</w:t>
            </w:r>
          </w:p>
        </w:tc>
      </w:tr>
      <w:tr w:rsidR="005203CE" w:rsidRPr="005203CE" w:rsidTr="005203CE">
        <w:trPr>
          <w:tblCellSpacing w:w="0" w:type="dxa"/>
        </w:trPr>
        <w:tc>
          <w:tcPr>
            <w:tcW w:w="0" w:type="auto"/>
            <w:gridSpan w:val="2"/>
            <w:vAlign w:val="center"/>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Osnovni sastav</w:t>
            </w:r>
          </w:p>
        </w:tc>
      </w:tr>
      <w:tr w:rsidR="005203CE" w:rsidRPr="005203CE" w:rsidTr="005203CE">
        <w:trPr>
          <w:tblCellSpacing w:w="0" w:type="dxa"/>
        </w:trPr>
        <w:tc>
          <w:tcPr>
            <w:tcW w:w="0" w:type="auto"/>
            <w:vAlign w:val="center"/>
            <w:hideMark/>
          </w:tcPr>
          <w:p w:rsidR="005203CE" w:rsidRPr="005203CE" w:rsidRDefault="005203CE" w:rsidP="005203CE">
            <w:pPr>
              <w:spacing w:after="0" w:line="240" w:lineRule="auto"/>
              <w:rPr>
                <w:rFonts w:ascii="inherit" w:eastAsia="Times New Roman" w:hAnsi="inherit" w:cs="Times New Roman"/>
                <w:b/>
                <w:bCs/>
                <w:sz w:val="22"/>
                <w:szCs w:val="22"/>
                <w:lang w:eastAsia="hr-HR"/>
              </w:rPr>
            </w:pPr>
          </w:p>
        </w:tc>
        <w:tc>
          <w:tcPr>
            <w:tcW w:w="0" w:type="auto"/>
            <w:vAlign w:val="center"/>
            <w:hideMark/>
          </w:tcPr>
          <w:p w:rsidR="005203CE" w:rsidRPr="005203CE" w:rsidRDefault="005203CE" w:rsidP="005203CE">
            <w:pPr>
              <w:spacing w:after="0" w:line="240" w:lineRule="auto"/>
              <w:rPr>
                <w:rFonts w:eastAsia="Times New Roman" w:cs="Times New Roman"/>
                <w:sz w:val="20"/>
                <w:lang w:eastAsia="hr-HR"/>
              </w:rPr>
            </w:pP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EN 16424:2014</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Karakterizacija otpada. Metode probira za sastav elemenata upotrebom prenosivih uređaja za rendgensku fluorescenciju</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EN 15309:2007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Karakterizacija otpada i tla. Određivanje elementarnog sastava rendgenskom fluorescencijom</w:t>
            </w:r>
          </w:p>
        </w:tc>
      </w:tr>
    </w:tbl>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Informacije dobivene kemijskom analizom otpada koje se mogu upotrijebiti za razvrstavanje otpada trebaju biti podaci koji se odnose na sastav. Rezultati ispitivanja ispiranja – koji se često dobivaju iz laboratorijskih rezultata u okviru ispitivanja ispunjavanja kriterija za prihvat otpada iz Direktive o odlagalištima – u načelu nisu korisni za razvrstavanje otpada prema opasnosti. Jedina iznimka od tog načela može biti slučaj ocjenjivanja u pogledu oznake HP 15. Konkretno, to znači da se otpad neće automatski smatrati opasnim ili neopasnim ako, na primjer, nije ispunio kriterij inertnosti za prihvat otpada iz Direktive o odlagalištima. Rezultati na temelju kriterija za prihvat otpada ne smiju se upotrebljavati kao jedini izvor informacija za razvrstavanje opasnog otpada. Analiza na temelju kriterija za prihvat otpada zahtijeva se samo: 1. ako je odabrana obrada slanje na odlagalište i 2. ako kategorija odlagališta prethodno određena razvrstavanjem otpada kao opasnog ili neopasnog zahtijeva numeričko ispitivanje kriterija za prihvat otpada. Međutim, tvari prisutne u procjednim vodama mogu ponuditi neke odgovore kad je riječ o sastojcima izvornog otpada.</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Potrebno je napomenuti da se posebice kod anorganskih tvari kemijskom analizom najčešće ne dobivaju informacije o specifičnim kemijskim spojevima u otpadu, već se omogućuje samo utvrđivanje kationa i aniona. Ni molekularni sastav ni druga razmatranja, kao što je utvrđivanje mineraloških oblika, najčešće nisu mogući primjenom tradicionalnih analitičkih tehnika. U nastavku su prikazane moguće metode za prevladavanje te prepreke. Na razini država članica može biti dostupno više pristupa i konvencija koje je potrebno dodatno provjeriti.</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4.2.1.   </w:t>
      </w:r>
      <w:r w:rsidRPr="005203CE">
        <w:rPr>
          <w:rFonts w:ascii="inherit" w:eastAsia="Times New Roman" w:hAnsi="inherit" w:cs="Times New Roman"/>
          <w:b/>
          <w:bCs/>
          <w:i/>
          <w:iCs/>
          <w:color w:val="000000"/>
          <w:szCs w:val="24"/>
          <w:lang w:eastAsia="hr-HR"/>
        </w:rPr>
        <w:t>Tvari u najgorem mogućem slučaju</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U vjerojatnom slučaju da posjednik otpada ima određeno znanje o elementima, ali ne i o tvarima prisutnima u otpadu, predlaže se primjena koncepta određivanja tvari u „razumnom najgorem slučaju” za svaki utvrđeni element. Tvari u najgorem mogućem slučaju potrebno je odrediti za svako opasno svojstvo te u nastavku za ocjenjivanje opasnih svojstava (vidjeti Poglavlje 3.2.2.).</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Tvari u najgorem mogućem slučaju potrebno je odrediti razmatranjem tvari koje bi razumno mogle biti prisutne u otpadu (npr. na temelju tvari koje se upotrebljavaju u postupku dobivanja otpada i njegove povezane kemije).</w:t>
      </w:r>
      <w:hyperlink r:id="rId276" w:anchor="ntr4-C_2018124HR.01012401-E0004" w:history="1">
        <w:r w:rsidRPr="005203CE">
          <w:rPr>
            <w:rFonts w:ascii="inherit" w:eastAsia="Times New Roman" w:hAnsi="inherit" w:cs="Times New Roman"/>
            <w:color w:val="0000FF"/>
            <w:szCs w:val="24"/>
            <w:u w:val="single"/>
            <w:lang w:eastAsia="hr-HR"/>
          </w:rPr>
          <w:t> (</w:t>
        </w:r>
        <w:r w:rsidRPr="005203CE">
          <w:rPr>
            <w:rFonts w:ascii="inherit" w:eastAsia="Times New Roman" w:hAnsi="inherit" w:cs="Times New Roman"/>
            <w:color w:val="0000FF"/>
            <w:sz w:val="17"/>
            <w:szCs w:val="17"/>
            <w:u w:val="single"/>
            <w:vertAlign w:val="superscript"/>
            <w:lang w:eastAsia="hr-HR"/>
          </w:rPr>
          <w:t>4</w:t>
        </w:r>
        <w:r w:rsidRPr="005203CE">
          <w:rPr>
            <w:rFonts w:ascii="inherit" w:eastAsia="Times New Roman" w:hAnsi="inherit" w:cs="Times New Roman"/>
            <w:color w:val="0000FF"/>
            <w:szCs w:val="24"/>
            <w:u w:val="single"/>
            <w:lang w:eastAsia="hr-HR"/>
          </w:rPr>
          <w:t>)</w:t>
        </w:r>
      </w:hyperlink>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4.2.2.   </w:t>
      </w:r>
      <w:r w:rsidRPr="005203CE">
        <w:rPr>
          <w:rFonts w:ascii="inherit" w:eastAsia="Times New Roman" w:hAnsi="inherit" w:cs="Times New Roman"/>
          <w:b/>
          <w:bCs/>
          <w:i/>
          <w:iCs/>
          <w:color w:val="000000"/>
          <w:szCs w:val="24"/>
          <w:lang w:eastAsia="hr-HR"/>
        </w:rPr>
        <w:t>Generički unosi</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Za elemente koji imaju „generički unos” na popisu usklađenih razvrstavanja u tablici 3. u dijelu 3. Priloga VI. Uredbi CLP nije potrebna dodatna specifikacija za utvrđene elemente. Međutim, pri određivanju opasnih svojstava otpada na temelju „generičkih unosa” mogu se uzeti u obzir napomene koje se odnose na razvrstavanje i označivanje smjesa iz Poglavlja 1.1.3.2. Priloga VI. Uredbi CLP. Ti su unosi prikazani u tablici 26.</w:t>
      </w:r>
    </w:p>
    <w:p w:rsidR="005203CE" w:rsidRPr="005203CE" w:rsidRDefault="005203CE" w:rsidP="005203CE">
      <w:pPr>
        <w:spacing w:before="120" w:after="120" w:line="240" w:lineRule="auto"/>
        <w:jc w:val="center"/>
        <w:rPr>
          <w:rFonts w:ascii="inherit" w:eastAsia="Times New Roman" w:hAnsi="inherit" w:cs="Times New Roman"/>
          <w:color w:val="000000"/>
          <w:szCs w:val="24"/>
          <w:lang w:eastAsia="hr-HR"/>
        </w:rPr>
      </w:pPr>
      <w:r w:rsidRPr="005203CE">
        <w:rPr>
          <w:rFonts w:ascii="inherit" w:eastAsia="Times New Roman" w:hAnsi="inherit" w:cs="Times New Roman"/>
          <w:i/>
          <w:iCs/>
          <w:color w:val="000000"/>
          <w:szCs w:val="24"/>
          <w:lang w:eastAsia="hr-HR"/>
        </w:rPr>
        <w:lastRenderedPageBreak/>
        <w:t>Tablica 26.</w:t>
      </w:r>
    </w:p>
    <w:p w:rsidR="005203CE" w:rsidRPr="005203CE" w:rsidRDefault="005203CE" w:rsidP="005203CE">
      <w:pPr>
        <w:spacing w:before="120" w:after="120" w:line="240" w:lineRule="auto"/>
        <w:jc w:val="center"/>
        <w:rPr>
          <w:rFonts w:ascii="inherit" w:eastAsia="Times New Roman" w:hAnsi="inherit" w:cs="Times New Roman"/>
          <w:color w:val="000000"/>
          <w:szCs w:val="24"/>
          <w:lang w:eastAsia="hr-HR"/>
        </w:rPr>
      </w:pPr>
      <w:r w:rsidRPr="005203CE">
        <w:rPr>
          <w:rFonts w:ascii="inherit" w:eastAsia="Times New Roman" w:hAnsi="inherit" w:cs="Times New Roman"/>
          <w:b/>
          <w:bCs/>
          <w:color w:val="000000"/>
          <w:szCs w:val="24"/>
          <w:lang w:eastAsia="hr-HR"/>
        </w:rPr>
        <w:t>Generički unosi elemenata (11) u Uredbi CLP</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008"/>
        <w:gridCol w:w="899"/>
        <w:gridCol w:w="4382"/>
        <w:gridCol w:w="1376"/>
        <w:gridCol w:w="1391"/>
      </w:tblGrid>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Element</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Indeks broj</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Međunarodno kemijskoime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Razred opasnosti i šifre kategorija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ind w:right="195"/>
              <w:jc w:val="center"/>
              <w:rPr>
                <w:rFonts w:ascii="inherit" w:eastAsia="Times New Roman" w:hAnsi="inherit" w:cs="Times New Roman"/>
                <w:b/>
                <w:bCs/>
                <w:sz w:val="22"/>
                <w:szCs w:val="22"/>
                <w:lang w:eastAsia="hr-HR"/>
              </w:rPr>
            </w:pPr>
            <w:r w:rsidRPr="005203CE">
              <w:rPr>
                <w:rFonts w:ascii="inherit" w:eastAsia="Times New Roman" w:hAnsi="inherit" w:cs="Times New Roman"/>
                <w:b/>
                <w:bCs/>
                <w:sz w:val="22"/>
                <w:szCs w:val="22"/>
                <w:lang w:eastAsia="hr-HR"/>
              </w:rPr>
              <w:t>Šifra oznaka upozorenja</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As</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033-002-00-5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arsenovi</w:t>
            </w:r>
            <w:r w:rsidRPr="005203CE">
              <w:rPr>
                <w:rFonts w:ascii="inherit" w:eastAsia="Times New Roman" w:hAnsi="inherit" w:cs="Times New Roman"/>
                <w:sz w:val="22"/>
                <w:szCs w:val="22"/>
                <w:lang w:eastAsia="hr-HR"/>
              </w:rPr>
              <w:t> spojevi osim onih koji su navedeni negdje drugdje u ovom Prilogu</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Akutna toks. 3 *</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Akutna toks. 3 *</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Ak. toks. vod. okol. 1</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Kron. toks. vod. okol. 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H331</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H301</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H400</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H410</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Ba</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056-002-00-7</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barijeve</w:t>
            </w:r>
            <w:r w:rsidRPr="005203CE">
              <w:rPr>
                <w:rFonts w:ascii="inherit" w:eastAsia="Times New Roman" w:hAnsi="inherit" w:cs="Times New Roman"/>
                <w:sz w:val="22"/>
                <w:szCs w:val="22"/>
                <w:lang w:eastAsia="hr-HR"/>
              </w:rPr>
              <w:t> soli, osim barijevog sulfata, soli 1-azo-2-hidroksinaftalenilarilsulfonske kiseline i soli navedenih negdje u drugdje u ovom Prilogu</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Akutna toks. 4 *</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Akutna toks. 4 *</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H332</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H302</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Be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004-002-00-2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berilijevi</w:t>
            </w:r>
            <w:r w:rsidRPr="005203CE">
              <w:rPr>
                <w:rFonts w:ascii="inherit" w:eastAsia="Times New Roman" w:hAnsi="inherit" w:cs="Times New Roman"/>
                <w:sz w:val="22"/>
                <w:szCs w:val="22"/>
                <w:lang w:eastAsia="hr-HR"/>
              </w:rPr>
              <w:t> spojevi osim aluminij berilij silikata i onih navedenih negdje drugdje u ovom Prilogu</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Karc. 1B</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Akutna toks. 2 *</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Akutna toks. 3 *</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TCOP 1</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Nadraž. oka 2</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TCOJ 3</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Nadraž. kožu 2</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Derm. senz. 1</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Kron. toks. vod. okol. 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H350i</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H330</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H301</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H372 **</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H319</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H335</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H315</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H317</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H411</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Cd</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048-001-00-5</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kadmijevi</w:t>
            </w:r>
            <w:r w:rsidRPr="005203CE">
              <w:rPr>
                <w:rFonts w:ascii="inherit" w:eastAsia="Times New Roman" w:hAnsi="inherit" w:cs="Times New Roman"/>
                <w:sz w:val="22"/>
                <w:szCs w:val="22"/>
                <w:lang w:eastAsia="hr-HR"/>
              </w:rPr>
              <w:t> spojevi osim kadmijeva sulfoselenida (xCdS · yCdSe), reakcijske smjese kadmijeva sulfida s cinkovim sulfidom (xCdS · yZnS), reakcijske smjese kadmijeva sulfida sa živinim sulfidom (xCdS · yHgS) i onih navedenih negdje drugdje u ovom Prilogu</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Akutna toks. 4 *</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Akutna toks. 4 *</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Akutna toks. 4 *</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Ak. toks. vod. okol. 1</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Kron. toks. vod. okol. 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H332</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H312</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H302</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H400</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H410</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Cr(VI)</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024-017-00-8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krom (VI)</w:t>
            </w:r>
            <w:r w:rsidRPr="005203CE">
              <w:rPr>
                <w:rFonts w:ascii="inherit" w:eastAsia="Times New Roman" w:hAnsi="inherit" w:cs="Times New Roman"/>
                <w:sz w:val="22"/>
                <w:szCs w:val="22"/>
                <w:lang w:eastAsia="hr-HR"/>
              </w:rPr>
              <w:t> spojevi, s iznimkom barijeva kromata i spojeva navedenih negdje drugdje u ovom Prilogu</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Karc. 1B</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Derm. senz. 1</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Ak. toks. vod. okol. 1</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Kron. toks. vod. okol. 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H350i</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H317</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H400</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H410</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lastRenderedPageBreak/>
              <w:t>Hg</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080-002-00-6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anorganski spojevi </w:t>
            </w:r>
            <w:r w:rsidRPr="005203CE">
              <w:rPr>
                <w:rFonts w:ascii="inherit" w:eastAsia="Times New Roman" w:hAnsi="inherit" w:cs="Times New Roman"/>
                <w:b/>
                <w:bCs/>
                <w:sz w:val="22"/>
                <w:szCs w:val="22"/>
                <w:lang w:eastAsia="hr-HR"/>
              </w:rPr>
              <w:t>žive</w:t>
            </w:r>
            <w:r w:rsidRPr="005203CE">
              <w:rPr>
                <w:rFonts w:ascii="inherit" w:eastAsia="Times New Roman" w:hAnsi="inherit" w:cs="Times New Roman"/>
                <w:sz w:val="22"/>
                <w:szCs w:val="22"/>
                <w:lang w:eastAsia="hr-HR"/>
              </w:rPr>
              <w:t> s iznimkom živinog sulfida i onih navedenih negdje drugdje u ovom Prilogu</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Akutna toks. 2 *</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Akutna toks. 1</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Akutna toks. 2 *</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TCOP 2 *</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Ak. toks. vod. okol. 1</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Kron. toks. vod. okol. 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H330</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H310</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H300</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H373 **</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H400</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H410</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Pb</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082-001-00-6</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olovni</w:t>
            </w:r>
            <w:r w:rsidRPr="005203CE">
              <w:rPr>
                <w:rFonts w:ascii="inherit" w:eastAsia="Times New Roman" w:hAnsi="inherit" w:cs="Times New Roman"/>
                <w:sz w:val="22"/>
                <w:szCs w:val="22"/>
                <w:lang w:eastAsia="hr-HR"/>
              </w:rPr>
              <w:t> spojevi s iznimkom onih navedenih negdje drugdje u ovom Prilogu</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Repr. 1A</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Akutna toks. 4 *</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Akutna toks. 4 *</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TCOP 2 *</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Ak. toks. vod. okol. 1</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Kron. toks. vod. okol. 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H360Df</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H332</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H302</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H373 **</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H400</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H410</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Sb</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051-003-00-9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antimonovi</w:t>
            </w:r>
            <w:r w:rsidRPr="005203CE">
              <w:rPr>
                <w:rFonts w:ascii="inherit" w:eastAsia="Times New Roman" w:hAnsi="inherit" w:cs="Times New Roman"/>
                <w:sz w:val="22"/>
                <w:szCs w:val="22"/>
                <w:lang w:eastAsia="hr-HR"/>
              </w:rPr>
              <w:t> spojevi, s iznimkom tetroksida (Sb</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O</w:t>
            </w:r>
            <w:r w:rsidRPr="005203CE">
              <w:rPr>
                <w:rFonts w:ascii="inherit" w:eastAsia="Times New Roman" w:hAnsi="inherit" w:cs="Times New Roman"/>
                <w:sz w:val="15"/>
                <w:szCs w:val="15"/>
                <w:vertAlign w:val="subscript"/>
                <w:lang w:eastAsia="hr-HR"/>
              </w:rPr>
              <w:t>4</w:t>
            </w:r>
            <w:r w:rsidRPr="005203CE">
              <w:rPr>
                <w:rFonts w:ascii="inherit" w:eastAsia="Times New Roman" w:hAnsi="inherit" w:cs="Times New Roman"/>
                <w:sz w:val="22"/>
                <w:szCs w:val="22"/>
                <w:lang w:eastAsia="hr-HR"/>
              </w:rPr>
              <w:t>), pentoksida (Sb</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O</w:t>
            </w:r>
            <w:r w:rsidRPr="005203CE">
              <w:rPr>
                <w:rFonts w:ascii="inherit" w:eastAsia="Times New Roman" w:hAnsi="inherit" w:cs="Times New Roman"/>
                <w:sz w:val="15"/>
                <w:szCs w:val="15"/>
                <w:vertAlign w:val="subscript"/>
                <w:lang w:eastAsia="hr-HR"/>
              </w:rPr>
              <w:t>5</w:t>
            </w:r>
            <w:r w:rsidRPr="005203CE">
              <w:rPr>
                <w:rFonts w:ascii="inherit" w:eastAsia="Times New Roman" w:hAnsi="inherit" w:cs="Times New Roman"/>
                <w:sz w:val="22"/>
                <w:szCs w:val="22"/>
                <w:lang w:eastAsia="hr-HR"/>
              </w:rPr>
              <w:t>), trisulfida (Sb</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S</w:t>
            </w:r>
            <w:r w:rsidRPr="005203CE">
              <w:rPr>
                <w:rFonts w:ascii="inherit" w:eastAsia="Times New Roman" w:hAnsi="inherit" w:cs="Times New Roman"/>
                <w:sz w:val="15"/>
                <w:szCs w:val="15"/>
                <w:vertAlign w:val="subscript"/>
                <w:lang w:eastAsia="hr-HR"/>
              </w:rPr>
              <w:t>3</w:t>
            </w:r>
            <w:r w:rsidRPr="005203CE">
              <w:rPr>
                <w:rFonts w:ascii="inherit" w:eastAsia="Times New Roman" w:hAnsi="inherit" w:cs="Times New Roman"/>
                <w:sz w:val="22"/>
                <w:szCs w:val="22"/>
                <w:lang w:eastAsia="hr-HR"/>
              </w:rPr>
              <w:t>), pentasulfida (Sb</w:t>
            </w:r>
            <w:r w:rsidRPr="005203CE">
              <w:rPr>
                <w:rFonts w:ascii="inherit" w:eastAsia="Times New Roman" w:hAnsi="inherit" w:cs="Times New Roman"/>
                <w:sz w:val="15"/>
                <w:szCs w:val="15"/>
                <w:vertAlign w:val="subscript"/>
                <w:lang w:eastAsia="hr-HR"/>
              </w:rPr>
              <w:t>2</w:t>
            </w:r>
            <w:r w:rsidRPr="005203CE">
              <w:rPr>
                <w:rFonts w:ascii="inherit" w:eastAsia="Times New Roman" w:hAnsi="inherit" w:cs="Times New Roman"/>
                <w:sz w:val="22"/>
                <w:szCs w:val="22"/>
                <w:lang w:eastAsia="hr-HR"/>
              </w:rPr>
              <w:t>S</w:t>
            </w:r>
            <w:r w:rsidRPr="005203CE">
              <w:rPr>
                <w:rFonts w:ascii="inherit" w:eastAsia="Times New Roman" w:hAnsi="inherit" w:cs="Times New Roman"/>
                <w:sz w:val="15"/>
                <w:szCs w:val="15"/>
                <w:vertAlign w:val="subscript"/>
                <w:lang w:eastAsia="hr-HR"/>
              </w:rPr>
              <w:t>5</w:t>
            </w:r>
            <w:r w:rsidRPr="005203CE">
              <w:rPr>
                <w:rFonts w:ascii="inherit" w:eastAsia="Times New Roman" w:hAnsi="inherit" w:cs="Times New Roman"/>
                <w:sz w:val="22"/>
                <w:szCs w:val="22"/>
                <w:lang w:eastAsia="hr-HR"/>
              </w:rPr>
              <w:t>) i onih navedenih negdje drugdje u ovom Prilogu</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Akutna toks. 4 *</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Akutna toks. 4 *</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Kron. toks. vod. okol. 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H332</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H302</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H411</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Se</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034-002-00-8</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selenovi</w:t>
            </w:r>
            <w:r w:rsidRPr="005203CE">
              <w:rPr>
                <w:rFonts w:ascii="inherit" w:eastAsia="Times New Roman" w:hAnsi="inherit" w:cs="Times New Roman"/>
                <w:sz w:val="22"/>
                <w:szCs w:val="22"/>
                <w:lang w:eastAsia="hr-HR"/>
              </w:rPr>
              <w:t> spojevi osim kadmijeva sulfoselenida i onih navedenih negdje drugdje u ovom Prilogu</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Akutna toks. 3 *</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Akutna toks. 3 *</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TCOP 2</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Ak. toks. vod. okol. 1</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Kron. toks. vod. okol. 1.</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H331</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H301</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H373**</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H400</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H410</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Tl</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081-002-00-9</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talijevi</w:t>
            </w:r>
            <w:r w:rsidRPr="005203CE">
              <w:rPr>
                <w:rFonts w:ascii="inherit" w:eastAsia="Times New Roman" w:hAnsi="inherit" w:cs="Times New Roman"/>
                <w:sz w:val="22"/>
                <w:szCs w:val="22"/>
                <w:lang w:eastAsia="hr-HR"/>
              </w:rPr>
              <w:t> spojevi s iznimkom onih navedenih negdje drugdje u ovom Prilogu</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Akutna toks. 2 *</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Akutna toks. 2 *</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TCOP 2 *</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Kron. toks. vod. okol. 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H330</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H300</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H373 **</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H411</w:t>
            </w:r>
          </w:p>
        </w:tc>
      </w:tr>
      <w:tr w:rsidR="005203CE" w:rsidRPr="005203CE" w:rsidTr="005203CE">
        <w:trPr>
          <w:tblCellSpacing w:w="0" w:type="dxa"/>
        </w:trPr>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U</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092-002-00-3</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b/>
                <w:bCs/>
                <w:sz w:val="22"/>
                <w:szCs w:val="22"/>
                <w:lang w:eastAsia="hr-HR"/>
              </w:rPr>
              <w:t>uranijevi</w:t>
            </w:r>
            <w:r w:rsidRPr="005203CE">
              <w:rPr>
                <w:rFonts w:ascii="inherit" w:eastAsia="Times New Roman" w:hAnsi="inherit" w:cs="Times New Roman"/>
                <w:sz w:val="22"/>
                <w:szCs w:val="22"/>
                <w:lang w:eastAsia="hr-HR"/>
              </w:rPr>
              <w:t> spojevi osim onih navedenih negdje drugdje u ovom Prilogu</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Akutna toks. 2 *</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Akutna toks. 2 *</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lastRenderedPageBreak/>
              <w:t>TCOP 2</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Kron. toks. vod. okol. 2.</w:t>
            </w:r>
          </w:p>
        </w:tc>
        <w:tc>
          <w:tcPr>
            <w:tcW w:w="0" w:type="auto"/>
            <w:tcBorders>
              <w:top w:val="single" w:sz="6" w:space="0" w:color="000000"/>
              <w:left w:val="single" w:sz="6" w:space="0" w:color="000000"/>
              <w:bottom w:val="single" w:sz="6" w:space="0" w:color="000000"/>
              <w:right w:val="single" w:sz="6" w:space="0" w:color="000000"/>
            </w:tcBorders>
            <w:hideMark/>
          </w:tcPr>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lastRenderedPageBreak/>
              <w:t>H330</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H300</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H373**</w:t>
            </w:r>
          </w:p>
          <w:p w:rsidR="005203CE" w:rsidRPr="005203CE" w:rsidRDefault="005203CE" w:rsidP="005203CE">
            <w:pPr>
              <w:spacing w:before="60" w:after="60" w:line="240" w:lineRule="auto"/>
              <w:rPr>
                <w:rFonts w:ascii="inherit" w:eastAsia="Times New Roman" w:hAnsi="inherit" w:cs="Times New Roman"/>
                <w:sz w:val="22"/>
                <w:szCs w:val="22"/>
                <w:lang w:eastAsia="hr-HR"/>
              </w:rPr>
            </w:pPr>
            <w:r w:rsidRPr="005203CE">
              <w:rPr>
                <w:rFonts w:ascii="inherit" w:eastAsia="Times New Roman" w:hAnsi="inherit" w:cs="Times New Roman"/>
                <w:sz w:val="22"/>
                <w:szCs w:val="22"/>
                <w:lang w:eastAsia="hr-HR"/>
              </w:rPr>
              <w:t>H411</w:t>
            </w:r>
          </w:p>
        </w:tc>
      </w:tr>
    </w:tbl>
    <w:p w:rsidR="005203CE" w:rsidRPr="005203CE" w:rsidRDefault="00144F85" w:rsidP="005203CE">
      <w:pPr>
        <w:spacing w:before="240" w:after="60" w:line="240" w:lineRule="auto"/>
        <w:rPr>
          <w:rFonts w:eastAsia="Times New Roman" w:cs="Times New Roman"/>
          <w:color w:val="000000"/>
          <w:szCs w:val="24"/>
          <w:lang w:eastAsia="hr-HR"/>
        </w:rPr>
      </w:pPr>
      <w:r>
        <w:rPr>
          <w:rFonts w:eastAsia="Times New Roman" w:cs="Times New Roman"/>
          <w:color w:val="000000"/>
          <w:szCs w:val="24"/>
          <w:lang w:eastAsia="hr-HR"/>
        </w:rPr>
        <w:pict>
          <v:rect id="_x0000_i1034" style="width:277.65pt;height:.75pt" o:hrpct="0" o:hrstd="t" o:hrnoshade="t" o:hr="t" fillcolor="black" stroked="f"/>
        </w:pic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277" w:anchor="ntc1-C_2018124HR.01012401-E0001"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1</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Bund/Länder-Arbeitsgemeinschaft Abfall, LAGA-Methodensammlung Abfalluntersuchung, Dresden, Njemačka, 2012.</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278" w:anchor="ntc2-C_2018124HR.01012401-E0002"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2</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Na primjer, Bund/Länder-Arbeitsgemeinschaft Abfall, LAGA PN 98 – Richtlinie für das Vorgehen bei physikalischen, chemischen und biologischen Untersuchungen im Zusammenhang mit der Verwertung/Beseitigung von Abfällen, Dresden, Njemačka, 2004., pruža dodatne smjernice koje se primjenjuju u Njemačkoj za proučavanje otpada u pogledu heterogenosti. Osobito se tekući otpad, otpad koji se može crpiti i otpad u obliku prašine, kao i otpad u kojem se homogenost može provjeriti vizualnim pregledom, smatraju homogenima. Sav drugi otpad smatra se heterogenim.</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279" w:anchor="ntc3-C_2018124HR.01012401-E0003"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3</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Potrebno je napomenuti da na razini država članica postoje preporuke i primjeri koji mogu poslužiti kao dodatne smjernice za utvrđivanje sastojaka u tekućem i krutom otpadu. Primjerice, metoda za iscrpno utvrđivanje elemenata i tvari u tekućem i krutom otpadu opisana je u dijelu „Karakterizacija otpada – Određivanje elemenata i tvari u otpadu”, opisanom u eksperimentalnoj normi AFNOR XP X30-489. Ta je norma radna stavka predana na glasovanje radi normizacije na europskoj razini CEN/TC 292/WG 5 N 735 Određivanje sadržaja elemenata i tvari u otpadu – eksperimentalna norma AFNOR-a XP X30-489 (CEN/TC 292 N 1430). Dodatne informacije o tom dokumentu dostupne su u Hennebert, P., Papin, A., Padox, J.-M., Hasebrouck, B., The evaluation of an analytical protocol fort he determination of substances in waste for hazard classification, Pariz, Francuska, 2013., dostupno na: http://www.sciencedirect.com/science/article/pii/S0956053X13001554. Nadalje, osim metoda CEN i normi, u dokumentu Agencije za zaštitu okoliša SAD-a: Test Methods for Evaluating Solid Waste (SW-846), 2014., dostupno na: http://www3.epa.gov/epawaste/hazard/testmethods/sw846/online/index.htm dostupne su informacije o uzorkovanju i analizi krutog otpada kako se primjenjuju u SAD-u.</w:t>
      </w:r>
    </w:p>
    <w:p w:rsidR="005203CE" w:rsidRPr="005203CE" w:rsidRDefault="00144F85" w:rsidP="005203CE">
      <w:pPr>
        <w:spacing w:before="60" w:after="60" w:line="240" w:lineRule="auto"/>
        <w:jc w:val="both"/>
        <w:rPr>
          <w:rFonts w:ascii="inherit" w:eastAsia="Times New Roman" w:hAnsi="inherit" w:cs="Times New Roman"/>
          <w:color w:val="000000"/>
          <w:sz w:val="19"/>
          <w:szCs w:val="19"/>
          <w:lang w:eastAsia="hr-HR"/>
        </w:rPr>
      </w:pPr>
      <w:hyperlink r:id="rId280" w:anchor="ntc4-C_2018124HR.01012401-E0004" w:history="1">
        <w:r w:rsidR="005203CE" w:rsidRPr="005203CE">
          <w:rPr>
            <w:rFonts w:ascii="inherit" w:eastAsia="Times New Roman" w:hAnsi="inherit" w:cs="Times New Roman"/>
            <w:color w:val="0000FF"/>
            <w:sz w:val="19"/>
            <w:szCs w:val="19"/>
            <w:u w:val="single"/>
            <w:lang w:eastAsia="hr-HR"/>
          </w:rPr>
          <w:t>(</w:t>
        </w:r>
        <w:r w:rsidR="005203CE" w:rsidRPr="005203CE">
          <w:rPr>
            <w:rFonts w:ascii="inherit" w:eastAsia="Times New Roman" w:hAnsi="inherit" w:cs="Times New Roman"/>
            <w:color w:val="0000FF"/>
            <w:sz w:val="13"/>
            <w:szCs w:val="13"/>
            <w:u w:val="single"/>
            <w:vertAlign w:val="superscript"/>
            <w:lang w:eastAsia="hr-HR"/>
          </w:rPr>
          <w:t>4</w:t>
        </w:r>
        <w:r w:rsidR="005203CE" w:rsidRPr="005203CE">
          <w:rPr>
            <w:rFonts w:ascii="inherit" w:eastAsia="Times New Roman" w:hAnsi="inherit" w:cs="Times New Roman"/>
            <w:color w:val="0000FF"/>
            <w:sz w:val="19"/>
            <w:szCs w:val="19"/>
            <w:u w:val="single"/>
            <w:lang w:eastAsia="hr-HR"/>
          </w:rPr>
          <w:t>)</w:t>
        </w:r>
      </w:hyperlink>
      <w:r w:rsidR="005203CE" w:rsidRPr="005203CE">
        <w:rPr>
          <w:rFonts w:ascii="inherit" w:eastAsia="Times New Roman" w:hAnsi="inherit" w:cs="Times New Roman"/>
          <w:color w:val="000000"/>
          <w:sz w:val="19"/>
          <w:szCs w:val="19"/>
          <w:lang w:eastAsia="hr-HR"/>
        </w:rPr>
        <w:t>  Pojam „razumno” u, primjerice, Smjernicama Ujedinjene Kraljevine objašnjen je na sljedeći način: „razumno znači da se tvari koje ne mogu postojati u otpadu zbog, primjerice, svojih fizikalnih i kemijskih svojstava, mogu isključiti”. Slično objašnjenje daje se u Smjernicama BMU-a. Smjernice instituta INERIS sadržavaju skup tvari „u najgorem mogućem slučaju” prema elementima za svako opasno svojstvo, što može poslužiti kao opća osnova informacija.</w:t>
      </w:r>
    </w:p>
    <w:p w:rsidR="005203CE" w:rsidRPr="005203CE" w:rsidRDefault="00144F85" w:rsidP="005203CE">
      <w:pPr>
        <w:spacing w:before="120" w:after="120" w:line="240" w:lineRule="auto"/>
        <w:rPr>
          <w:rFonts w:eastAsia="Times New Roman" w:cs="Times New Roman"/>
          <w:szCs w:val="24"/>
          <w:lang w:eastAsia="hr-HR"/>
        </w:rPr>
      </w:pPr>
      <w:r>
        <w:rPr>
          <w:rFonts w:eastAsia="Times New Roman" w:cs="Times New Roman"/>
          <w:szCs w:val="24"/>
          <w:lang w:eastAsia="hr-HR"/>
        </w:rPr>
        <w:pict>
          <v:rect id="_x0000_i1035" style="width:138.8pt;height:.75pt" o:hrpct="0" o:hralign="center" o:hrstd="t" o:hrnoshade="t" o:hr="t" fillcolor="black" stroked="f"/>
        </w:pict>
      </w:r>
    </w:p>
    <w:p w:rsidR="005203CE" w:rsidRPr="005203CE" w:rsidRDefault="005203CE" w:rsidP="005203CE">
      <w:pPr>
        <w:spacing w:before="240" w:after="120" w:line="240" w:lineRule="auto"/>
        <w:jc w:val="center"/>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PRILOG 5.</w:t>
      </w:r>
    </w:p>
    <w:p w:rsidR="005203CE" w:rsidRPr="005203CE" w:rsidRDefault="005203CE" w:rsidP="005203CE">
      <w:pPr>
        <w:spacing w:before="240" w:after="120" w:line="240" w:lineRule="auto"/>
        <w:jc w:val="both"/>
        <w:rPr>
          <w:rFonts w:ascii="inherit" w:eastAsia="Times New Roman" w:hAnsi="inherit" w:cs="Times New Roman"/>
          <w:b/>
          <w:bCs/>
          <w:color w:val="000000"/>
          <w:szCs w:val="24"/>
          <w:lang w:eastAsia="hr-HR"/>
        </w:rPr>
      </w:pPr>
      <w:r w:rsidRPr="005203CE">
        <w:rPr>
          <w:rFonts w:ascii="inherit" w:eastAsia="Times New Roman" w:hAnsi="inherit" w:cs="Times New Roman"/>
          <w:b/>
          <w:bCs/>
          <w:color w:val="000000"/>
          <w:szCs w:val="24"/>
          <w:lang w:eastAsia="hr-HR"/>
        </w:rPr>
        <w:t>Izvori i upućivanja na vanjske dokumente</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Bundesministerium für Umwelt, Naturschutz und Reaktorsicherheit (BMU), </w:t>
      </w:r>
      <w:r w:rsidRPr="005203CE">
        <w:rPr>
          <w:rFonts w:ascii="inherit" w:eastAsia="Times New Roman" w:hAnsi="inherit" w:cs="Times New Roman"/>
          <w:i/>
          <w:iCs/>
          <w:color w:val="000000"/>
          <w:szCs w:val="24"/>
          <w:lang w:eastAsia="hr-HR"/>
        </w:rPr>
        <w:t>Hinweise zur Anwendung der Abfallverzeichnis-Verordnung vom 10.Dezmeber 2001</w:t>
      </w:r>
      <w:r w:rsidRPr="005203CE">
        <w:rPr>
          <w:rFonts w:ascii="inherit" w:eastAsia="Times New Roman" w:hAnsi="inherit" w:cs="Times New Roman"/>
          <w:color w:val="000000"/>
          <w:szCs w:val="24"/>
          <w:lang w:eastAsia="hr-HR"/>
        </w:rPr>
        <w:t>, BGB1. I S. 3379, 2005., dostupno na: http://www.bmub.bund.de/fileadmin/bmu-import/files/abfallwirtschaft/downloads/application/pdf/avv_erlaeuterungen.pdf, pristupljeno 9.4.2015.</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Ministarstvo okoliša i prometa Baden-Württemberg, priručnik </w:t>
      </w:r>
      <w:r w:rsidRPr="005203CE">
        <w:rPr>
          <w:rFonts w:ascii="inherit" w:eastAsia="Times New Roman" w:hAnsi="inherit" w:cs="Times New Roman"/>
          <w:i/>
          <w:iCs/>
          <w:color w:val="000000"/>
          <w:szCs w:val="24"/>
          <w:lang w:eastAsia="hr-HR"/>
        </w:rPr>
        <w:t>How to apply the European Waste List 2001/118/EC</w:t>
      </w:r>
      <w:r w:rsidRPr="005203CE">
        <w:rPr>
          <w:rFonts w:ascii="inherit" w:eastAsia="Times New Roman" w:hAnsi="inherit" w:cs="Times New Roman"/>
          <w:color w:val="000000"/>
          <w:szCs w:val="24"/>
          <w:lang w:eastAsia="hr-HR"/>
        </w:rPr>
        <w:t>, Stuttgart, Njemačka, 2003., dostupno na: http://abag-itm.de/fileadmin/Dateien/ABAG/Informationsschriften/Band_B/Band_B_englisch.pdf, pristupljeno 2.4.2015.</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David O'Farrell, Cumbria County Council, </w:t>
      </w:r>
      <w:r w:rsidRPr="005203CE">
        <w:rPr>
          <w:rFonts w:ascii="inherit" w:eastAsia="Times New Roman" w:hAnsi="inherit" w:cs="Times New Roman"/>
          <w:i/>
          <w:iCs/>
          <w:color w:val="000000"/>
          <w:szCs w:val="24"/>
          <w:lang w:eastAsia="hr-HR"/>
        </w:rPr>
        <w:t>Dealing with tar bound arisings</w:t>
      </w:r>
      <w:r w:rsidRPr="005203CE">
        <w:rPr>
          <w:rFonts w:ascii="inherit" w:eastAsia="Times New Roman" w:hAnsi="inherit" w:cs="Times New Roman"/>
          <w:color w:val="000000"/>
          <w:szCs w:val="24"/>
          <w:lang w:eastAsia="hr-HR"/>
        </w:rPr>
        <w:t>, 2011., dostupno na: http://www.soci.org/~/media/Files/Conference%20Downloads/2011/Recycling%20and%20Re%20using%20Asphalt%20Mar%2011/David_OFarrell_Presentation.ashx, pristupljeno 26.3.2015.</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Europska komisija – Glavna uprava za okoliš, </w:t>
      </w:r>
      <w:r w:rsidRPr="005203CE">
        <w:rPr>
          <w:rFonts w:ascii="inherit" w:eastAsia="Times New Roman" w:hAnsi="inherit" w:cs="Times New Roman"/>
          <w:i/>
          <w:iCs/>
          <w:color w:val="000000"/>
          <w:szCs w:val="24"/>
          <w:lang w:eastAsia="hr-HR"/>
        </w:rPr>
        <w:t>Guidance on the interpretation of key provisions of Directive 2008/97/EC on waste</w:t>
      </w:r>
      <w:r w:rsidRPr="005203CE">
        <w:rPr>
          <w:rFonts w:ascii="inherit" w:eastAsia="Times New Roman" w:hAnsi="inherit" w:cs="Times New Roman"/>
          <w:color w:val="000000"/>
          <w:szCs w:val="24"/>
          <w:lang w:eastAsia="hr-HR"/>
        </w:rPr>
        <w:t>, 2013., dostupno na http://ec.europa.eu/environment/waste/framework/pdf/guidance_doc.pdf, pristupljeno 1.4.2015.</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lastRenderedPageBreak/>
        <w:t>Zajednički istraživački centar Europske komisije, </w:t>
      </w:r>
      <w:r w:rsidRPr="005203CE">
        <w:rPr>
          <w:rFonts w:ascii="inherit" w:eastAsia="Times New Roman" w:hAnsi="inherit" w:cs="Times New Roman"/>
          <w:i/>
          <w:iCs/>
          <w:color w:val="000000"/>
          <w:szCs w:val="24"/>
          <w:lang w:eastAsia="hr-HR"/>
        </w:rPr>
        <w:t>Directive 2012/18/EU of the European Parliament and of the Council on the control of major-accident hazards involving dangerous substances – Guidance on technical implementation issues</w:t>
      </w:r>
      <w:r w:rsidRPr="005203CE">
        <w:rPr>
          <w:rFonts w:ascii="inherit" w:eastAsia="Times New Roman" w:hAnsi="inherit" w:cs="Times New Roman"/>
          <w:color w:val="000000"/>
          <w:szCs w:val="24"/>
          <w:lang w:eastAsia="hr-HR"/>
        </w:rPr>
        <w:t>, 2013., dostupno na: http://www.unece.org/fileadmin/DAM/env/documents/2013/TEIA/QA_2011_review_2013.pdf, pristupljeno 14.4.2015.</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Zajednički istraživački centar Europske komisije, </w:t>
      </w:r>
      <w:r w:rsidRPr="005203CE">
        <w:rPr>
          <w:rFonts w:ascii="inherit" w:eastAsia="Times New Roman" w:hAnsi="inherit" w:cs="Times New Roman"/>
          <w:i/>
          <w:iCs/>
          <w:color w:val="000000"/>
          <w:szCs w:val="24"/>
          <w:lang w:eastAsia="hr-HR"/>
        </w:rPr>
        <w:t>End of waste criteria for waste plastics for conversion. Technical proposal. Final draft report</w:t>
      </w:r>
      <w:r w:rsidRPr="005203CE">
        <w:rPr>
          <w:rFonts w:ascii="inherit" w:eastAsia="Times New Roman" w:hAnsi="inherit" w:cs="Times New Roman"/>
          <w:color w:val="000000"/>
          <w:szCs w:val="24"/>
          <w:lang w:eastAsia="hr-HR"/>
        </w:rPr>
        <w:t>, GU JRC, IPTS, Sevilla, Španjolska, 2014.</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Europska agencija za kemikalije (ECHA), </w:t>
      </w:r>
      <w:r w:rsidRPr="005203CE">
        <w:rPr>
          <w:rFonts w:ascii="inherit" w:eastAsia="Times New Roman" w:hAnsi="inherit" w:cs="Times New Roman"/>
          <w:i/>
          <w:iCs/>
          <w:color w:val="000000"/>
          <w:szCs w:val="24"/>
          <w:lang w:eastAsia="hr-HR"/>
        </w:rPr>
        <w:t>Guidance on the application of the CLP Criteria – Guidance on the application of the CLP Criteria</w:t>
      </w:r>
      <w:r w:rsidRPr="005203CE">
        <w:rPr>
          <w:rFonts w:ascii="inherit" w:eastAsia="Times New Roman" w:hAnsi="inherit" w:cs="Times New Roman"/>
          <w:color w:val="000000"/>
          <w:szCs w:val="24"/>
          <w:lang w:eastAsia="hr-HR"/>
        </w:rPr>
        <w:t>, 2017., najnovija inačica (srpanj 2017.) dostupna na https://echa.europa.eu/documents/10162/23036412/clp_en.pdf/58b5dc6d-ac2a-4910-9702-e9e1f5051cc5</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Europska agencija za okoliš, </w:t>
      </w:r>
      <w:r w:rsidRPr="005203CE">
        <w:rPr>
          <w:rFonts w:ascii="inherit" w:eastAsia="Times New Roman" w:hAnsi="inherit" w:cs="Times New Roman"/>
          <w:i/>
          <w:iCs/>
          <w:color w:val="000000"/>
          <w:szCs w:val="24"/>
          <w:lang w:eastAsia="hr-HR"/>
        </w:rPr>
        <w:t>Ozone-depleting substances 2013 – Aggregated data reported by companies on the import, export, production, destruction and feedstock and process agent use of ozone-depleting substances in the European Union</w:t>
      </w:r>
      <w:r w:rsidRPr="005203CE">
        <w:rPr>
          <w:rFonts w:ascii="inherit" w:eastAsia="Times New Roman" w:hAnsi="inherit" w:cs="Times New Roman"/>
          <w:color w:val="000000"/>
          <w:szCs w:val="24"/>
          <w:lang w:eastAsia="hr-HR"/>
        </w:rPr>
        <w:t>, 2014., dostupno na: http://www.eea.europa.eu/publications/ozone-depleting-substances-2013, pristupljeno 13.4.2015.</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Europska agencija za okoliš (EEA) – Služba za terminologiju o okolišu i otkrivanja (ETSA), 2015., dostupno na: http://glossary.eea.europa.eu/, pristupljeno 4.7.2015.</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Hennebert, P., Papin, A., Padox, J.-M., Hasebrouck, B., </w:t>
      </w:r>
      <w:r w:rsidRPr="005203CE">
        <w:rPr>
          <w:rFonts w:ascii="inherit" w:eastAsia="Times New Roman" w:hAnsi="inherit" w:cs="Times New Roman"/>
          <w:i/>
          <w:iCs/>
          <w:color w:val="000000"/>
          <w:szCs w:val="24"/>
          <w:lang w:eastAsia="hr-HR"/>
        </w:rPr>
        <w:t>The evaluation of an analytical protocol fort he determination of substances in waste for hazard classification</w:t>
      </w:r>
      <w:r w:rsidRPr="005203CE">
        <w:rPr>
          <w:rFonts w:ascii="inherit" w:eastAsia="Times New Roman" w:hAnsi="inherit" w:cs="Times New Roman"/>
          <w:color w:val="000000"/>
          <w:szCs w:val="24"/>
          <w:lang w:eastAsia="hr-HR"/>
        </w:rPr>
        <w:t>, Pariz, Francuska, 2013., dostupno na: http://www.sciencedirect.com/science/article/pii/S0956053X13001554, pristupljeno 31.7.2015.</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Ineris, </w:t>
      </w:r>
      <w:r w:rsidRPr="005203CE">
        <w:rPr>
          <w:rFonts w:ascii="inherit" w:eastAsia="Times New Roman" w:hAnsi="inherit" w:cs="Times New Roman"/>
          <w:i/>
          <w:iCs/>
          <w:color w:val="000000"/>
          <w:szCs w:val="24"/>
          <w:lang w:eastAsia="hr-HR"/>
        </w:rPr>
        <w:t>Waste Hazardous Assessment – Proposition of methods</w:t>
      </w:r>
      <w:r w:rsidRPr="005203CE">
        <w:rPr>
          <w:rFonts w:ascii="inherit" w:eastAsia="Times New Roman" w:hAnsi="inherit" w:cs="Times New Roman"/>
          <w:color w:val="000000"/>
          <w:szCs w:val="24"/>
          <w:lang w:eastAsia="hr-HR"/>
        </w:rPr>
        <w:t> (version 2), 2015.</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Openbare Vlaamse Afvalstoffen Maatschappij (OVAM), </w:t>
      </w:r>
      <w:r w:rsidRPr="005203CE">
        <w:rPr>
          <w:rFonts w:ascii="inherit" w:eastAsia="Times New Roman" w:hAnsi="inherit" w:cs="Times New Roman"/>
          <w:i/>
          <w:iCs/>
          <w:color w:val="000000"/>
          <w:szCs w:val="24"/>
          <w:lang w:eastAsia="hr-HR"/>
        </w:rPr>
        <w:t>Europese afvalstoffenlijst EURAL Handleiding</w:t>
      </w:r>
      <w:r w:rsidRPr="005203CE">
        <w:rPr>
          <w:rFonts w:ascii="inherit" w:eastAsia="Times New Roman" w:hAnsi="inherit" w:cs="Times New Roman"/>
          <w:color w:val="000000"/>
          <w:szCs w:val="24"/>
          <w:lang w:eastAsia="hr-HR"/>
        </w:rPr>
        <w:t>, Mechelen, Belgija, 2015.</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Prirodni resursi Wales, Škotska agencija za zaštitu okoliša (SEPA), Agencija za zaštitu okoliša Sjeverne Irske (NIEA), Agencija za zaštitu okoliša, </w:t>
      </w:r>
      <w:r w:rsidRPr="005203CE">
        <w:rPr>
          <w:rFonts w:ascii="inherit" w:eastAsia="Times New Roman" w:hAnsi="inherit" w:cs="Times New Roman"/>
          <w:i/>
          <w:iCs/>
          <w:color w:val="000000"/>
          <w:szCs w:val="24"/>
          <w:lang w:eastAsia="hr-HR"/>
        </w:rPr>
        <w:t>DRAFT Waste Classification – Guidance on the classification and assessment of waste (1</w:t>
      </w:r>
      <w:r w:rsidRPr="005203CE">
        <w:rPr>
          <w:rFonts w:ascii="inherit" w:eastAsia="Times New Roman" w:hAnsi="inherit" w:cs="Times New Roman"/>
          <w:i/>
          <w:iCs/>
          <w:color w:val="000000"/>
          <w:sz w:val="17"/>
          <w:szCs w:val="17"/>
          <w:vertAlign w:val="superscript"/>
          <w:lang w:eastAsia="hr-HR"/>
        </w:rPr>
        <w:t>st</w:t>
      </w:r>
      <w:r w:rsidRPr="005203CE">
        <w:rPr>
          <w:rFonts w:ascii="inherit" w:eastAsia="Times New Roman" w:hAnsi="inherit" w:cs="Times New Roman"/>
          <w:i/>
          <w:iCs/>
          <w:color w:val="000000"/>
          <w:szCs w:val="24"/>
          <w:lang w:eastAsia="hr-HR"/>
        </w:rPr>
        <w:t> edition 2015) Technical Guidance WM3</w:t>
      </w:r>
      <w:r w:rsidRPr="005203CE">
        <w:rPr>
          <w:rFonts w:ascii="inherit" w:eastAsia="Times New Roman" w:hAnsi="inherit" w:cs="Times New Roman"/>
          <w:color w:val="000000"/>
          <w:szCs w:val="24"/>
          <w:lang w:eastAsia="hr-HR"/>
        </w:rPr>
        <w:t>, 2015., dostupno na: https://www.gov.uk/government/publications/waste-classification-technical-guidance, pristupljeno 14.7.2015.</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Agencija za zaštitu okoliša Sjedinjenih Američkih Država, </w:t>
      </w:r>
      <w:r w:rsidRPr="005203CE">
        <w:rPr>
          <w:rFonts w:ascii="inherit" w:eastAsia="Times New Roman" w:hAnsi="inherit" w:cs="Times New Roman"/>
          <w:i/>
          <w:iCs/>
          <w:color w:val="000000"/>
          <w:szCs w:val="24"/>
          <w:lang w:eastAsia="hr-HR"/>
        </w:rPr>
        <w:t>Test Methods for Evaluating Solid Waste (SW-846)</w:t>
      </w:r>
      <w:r w:rsidRPr="005203CE">
        <w:rPr>
          <w:rFonts w:ascii="inherit" w:eastAsia="Times New Roman" w:hAnsi="inherit" w:cs="Times New Roman"/>
          <w:color w:val="000000"/>
          <w:szCs w:val="24"/>
          <w:lang w:eastAsia="hr-HR"/>
        </w:rPr>
        <w:t>, 2014., dostupno na: http://www3.epa.gov/epawaste/hazard/testmethods/sw846/online/index.htm, pristupljeno 10.7.2015.</w:t>
      </w:r>
    </w:p>
    <w:p w:rsidR="005203CE" w:rsidRPr="005203CE" w:rsidRDefault="005203CE" w:rsidP="005203CE">
      <w:pPr>
        <w:spacing w:before="120" w:after="0" w:line="240" w:lineRule="auto"/>
        <w:jc w:val="both"/>
        <w:rPr>
          <w:rFonts w:ascii="inherit" w:eastAsia="Times New Roman" w:hAnsi="inherit" w:cs="Times New Roman"/>
          <w:color w:val="000000"/>
          <w:szCs w:val="24"/>
          <w:lang w:eastAsia="hr-HR"/>
        </w:rPr>
      </w:pPr>
      <w:r w:rsidRPr="005203CE">
        <w:rPr>
          <w:rFonts w:ascii="inherit" w:eastAsia="Times New Roman" w:hAnsi="inherit" w:cs="Times New Roman"/>
          <w:color w:val="000000"/>
          <w:szCs w:val="24"/>
          <w:lang w:eastAsia="hr-HR"/>
        </w:rPr>
        <w:t>Young, J.R., How, M.J., Walker, A.P., Worth, W.M.H., </w:t>
      </w:r>
      <w:r w:rsidRPr="005203CE">
        <w:rPr>
          <w:rFonts w:ascii="inherit" w:eastAsia="Times New Roman" w:hAnsi="inherit" w:cs="Times New Roman"/>
          <w:i/>
          <w:iCs/>
          <w:color w:val="000000"/>
          <w:szCs w:val="24"/>
          <w:lang w:eastAsia="hr-HR"/>
        </w:rPr>
        <w:t>Classification as corrosive or irritant to skin of preparations containing acidic or alkaline substances, without testing on animals</w:t>
      </w:r>
      <w:r w:rsidRPr="005203CE">
        <w:rPr>
          <w:rFonts w:ascii="inherit" w:eastAsia="Times New Roman" w:hAnsi="inherit" w:cs="Times New Roman"/>
          <w:color w:val="000000"/>
          <w:szCs w:val="24"/>
          <w:lang w:eastAsia="hr-HR"/>
        </w:rPr>
        <w:t>, Engleska, 1988.</w:t>
      </w:r>
    </w:p>
    <w:p w:rsidR="002E4A5F" w:rsidRDefault="002E4A5F"/>
    <w:sectPr w:rsidR="002E4A5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3CE"/>
    <w:rsid w:val="00144F85"/>
    <w:rsid w:val="002E4A5F"/>
    <w:rsid w:val="00456B65"/>
    <w:rsid w:val="005203C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5:chartTrackingRefBased/>
  <w15:docId w15:val="{D0A9ED12-8CE4-40A0-8EA3-7E928A0D4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Segoe UI"/>
        <w:sz w:val="24"/>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ti">
    <w:name w:val="doc-ti"/>
    <w:basedOn w:val="Normal"/>
    <w:rsid w:val="005203CE"/>
    <w:pPr>
      <w:spacing w:before="100" w:beforeAutospacing="1" w:after="100" w:afterAutospacing="1" w:line="240" w:lineRule="auto"/>
    </w:pPr>
    <w:rPr>
      <w:rFonts w:eastAsia="Times New Roman" w:cs="Times New Roman"/>
      <w:szCs w:val="24"/>
      <w:lang w:eastAsia="hr-HR"/>
    </w:rPr>
  </w:style>
  <w:style w:type="paragraph" w:customStyle="1" w:styleId="no-doc-c">
    <w:name w:val="no-doc-c"/>
    <w:basedOn w:val="Normal"/>
    <w:rsid w:val="005203CE"/>
    <w:pPr>
      <w:spacing w:before="100" w:beforeAutospacing="1" w:after="100" w:afterAutospacing="1" w:line="240" w:lineRule="auto"/>
    </w:pPr>
    <w:rPr>
      <w:rFonts w:eastAsia="Times New Roman" w:cs="Times New Roman"/>
      <w:szCs w:val="24"/>
      <w:lang w:eastAsia="hr-HR"/>
    </w:rPr>
  </w:style>
  <w:style w:type="paragraph" w:customStyle="1" w:styleId="Normal1">
    <w:name w:val="Normal1"/>
    <w:basedOn w:val="Normal"/>
    <w:rsid w:val="005203CE"/>
    <w:pPr>
      <w:spacing w:before="100" w:beforeAutospacing="1" w:after="100" w:afterAutospacing="1" w:line="240" w:lineRule="auto"/>
    </w:pPr>
    <w:rPr>
      <w:rFonts w:eastAsia="Times New Roman" w:cs="Times New Roman"/>
      <w:szCs w:val="24"/>
      <w:lang w:eastAsia="hr-HR"/>
    </w:rPr>
  </w:style>
  <w:style w:type="character" w:styleId="Hyperlink">
    <w:name w:val="Hyperlink"/>
    <w:basedOn w:val="DefaultParagraphFont"/>
    <w:uiPriority w:val="99"/>
    <w:semiHidden/>
    <w:unhideWhenUsed/>
    <w:rsid w:val="005203CE"/>
    <w:rPr>
      <w:color w:val="0000FF"/>
      <w:u w:val="single"/>
    </w:rPr>
  </w:style>
  <w:style w:type="character" w:styleId="FollowedHyperlink">
    <w:name w:val="FollowedHyperlink"/>
    <w:basedOn w:val="DefaultParagraphFont"/>
    <w:uiPriority w:val="99"/>
    <w:semiHidden/>
    <w:unhideWhenUsed/>
    <w:rsid w:val="005203CE"/>
    <w:rPr>
      <w:color w:val="800080"/>
      <w:u w:val="single"/>
    </w:rPr>
  </w:style>
  <w:style w:type="character" w:customStyle="1" w:styleId="super">
    <w:name w:val="super"/>
    <w:basedOn w:val="DefaultParagraphFont"/>
    <w:rsid w:val="005203CE"/>
  </w:style>
  <w:style w:type="paragraph" w:customStyle="1" w:styleId="ti-grseq-1">
    <w:name w:val="ti-grseq-1"/>
    <w:basedOn w:val="Normal"/>
    <w:rsid w:val="005203CE"/>
    <w:pPr>
      <w:spacing w:before="100" w:beforeAutospacing="1" w:after="100" w:afterAutospacing="1" w:line="240" w:lineRule="auto"/>
    </w:pPr>
    <w:rPr>
      <w:rFonts w:eastAsia="Times New Roman" w:cs="Times New Roman"/>
      <w:szCs w:val="24"/>
      <w:lang w:eastAsia="hr-HR"/>
    </w:rPr>
  </w:style>
  <w:style w:type="character" w:customStyle="1" w:styleId="bold">
    <w:name w:val="bold"/>
    <w:basedOn w:val="DefaultParagraphFont"/>
    <w:rsid w:val="005203CE"/>
  </w:style>
  <w:style w:type="character" w:customStyle="1" w:styleId="italic">
    <w:name w:val="italic"/>
    <w:basedOn w:val="DefaultParagraphFont"/>
    <w:rsid w:val="005203CE"/>
  </w:style>
  <w:style w:type="paragraph" w:customStyle="1" w:styleId="ti-tbl">
    <w:name w:val="ti-tbl"/>
    <w:basedOn w:val="Normal"/>
    <w:rsid w:val="005203CE"/>
    <w:pPr>
      <w:spacing w:before="100" w:beforeAutospacing="1" w:after="100" w:afterAutospacing="1" w:line="240" w:lineRule="auto"/>
    </w:pPr>
    <w:rPr>
      <w:rFonts w:eastAsia="Times New Roman" w:cs="Times New Roman"/>
      <w:szCs w:val="24"/>
      <w:lang w:eastAsia="hr-HR"/>
    </w:rPr>
  </w:style>
  <w:style w:type="paragraph" w:customStyle="1" w:styleId="tbl-num">
    <w:name w:val="tbl-num"/>
    <w:basedOn w:val="Normal"/>
    <w:rsid w:val="005203CE"/>
    <w:pPr>
      <w:spacing w:before="100" w:beforeAutospacing="1" w:after="100" w:afterAutospacing="1" w:line="240" w:lineRule="auto"/>
    </w:pPr>
    <w:rPr>
      <w:rFonts w:eastAsia="Times New Roman" w:cs="Times New Roman"/>
      <w:szCs w:val="24"/>
      <w:lang w:eastAsia="hr-HR"/>
    </w:rPr>
  </w:style>
  <w:style w:type="character" w:customStyle="1" w:styleId="underline">
    <w:name w:val="underline"/>
    <w:basedOn w:val="DefaultParagraphFont"/>
    <w:rsid w:val="005203CE"/>
  </w:style>
  <w:style w:type="paragraph" w:customStyle="1" w:styleId="tbl-hdr">
    <w:name w:val="tbl-hdr"/>
    <w:basedOn w:val="Normal"/>
    <w:rsid w:val="005203CE"/>
    <w:pPr>
      <w:spacing w:before="100" w:beforeAutospacing="1" w:after="100" w:afterAutospacing="1" w:line="240" w:lineRule="auto"/>
    </w:pPr>
    <w:rPr>
      <w:rFonts w:eastAsia="Times New Roman" w:cs="Times New Roman"/>
      <w:szCs w:val="24"/>
      <w:lang w:eastAsia="hr-HR"/>
    </w:rPr>
  </w:style>
  <w:style w:type="paragraph" w:customStyle="1" w:styleId="tbl-txt">
    <w:name w:val="tbl-txt"/>
    <w:basedOn w:val="Normal"/>
    <w:rsid w:val="005203CE"/>
    <w:pPr>
      <w:spacing w:before="100" w:beforeAutospacing="1" w:after="100" w:afterAutospacing="1" w:line="240" w:lineRule="auto"/>
    </w:pPr>
    <w:rPr>
      <w:rFonts w:eastAsia="Times New Roman" w:cs="Times New Roman"/>
      <w:szCs w:val="24"/>
      <w:lang w:eastAsia="hr-HR"/>
    </w:rPr>
  </w:style>
  <w:style w:type="paragraph" w:customStyle="1" w:styleId="note">
    <w:name w:val="note"/>
    <w:basedOn w:val="Normal"/>
    <w:rsid w:val="005203CE"/>
    <w:pPr>
      <w:spacing w:before="100" w:beforeAutospacing="1" w:after="100" w:afterAutospacing="1" w:line="240" w:lineRule="auto"/>
    </w:pPr>
    <w:rPr>
      <w:rFonts w:eastAsia="Times New Roman" w:cs="Times New Roman"/>
      <w:szCs w:val="24"/>
      <w:lang w:eastAsia="hr-HR"/>
    </w:rPr>
  </w:style>
  <w:style w:type="character" w:customStyle="1" w:styleId="sub">
    <w:name w:val="sub"/>
    <w:basedOn w:val="DefaultParagraphFont"/>
    <w:rsid w:val="005203CE"/>
  </w:style>
  <w:style w:type="paragraph" w:customStyle="1" w:styleId="center">
    <w:name w:val="center"/>
    <w:basedOn w:val="Normal"/>
    <w:rsid w:val="005203CE"/>
    <w:pPr>
      <w:spacing w:before="100" w:beforeAutospacing="1" w:after="100" w:afterAutospacing="1" w:line="240" w:lineRule="auto"/>
    </w:pPr>
    <w:rPr>
      <w:rFonts w:eastAsia="Times New Roman" w:cs="Times New Roman"/>
      <w:szCs w:val="24"/>
      <w:lang w:eastAsia="hr-HR"/>
    </w:rPr>
  </w:style>
  <w:style w:type="character" w:customStyle="1" w:styleId="expanded">
    <w:name w:val="expanded"/>
    <w:basedOn w:val="DefaultParagraphFont"/>
    <w:rsid w:val="005203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7502035">
      <w:bodyDiv w:val="1"/>
      <w:marLeft w:val="0"/>
      <w:marRight w:val="0"/>
      <w:marTop w:val="0"/>
      <w:marBottom w:val="0"/>
      <w:divBdr>
        <w:top w:val="none" w:sz="0" w:space="0" w:color="auto"/>
        <w:left w:val="none" w:sz="0" w:space="0" w:color="auto"/>
        <w:bottom w:val="none" w:sz="0" w:space="0" w:color="auto"/>
        <w:right w:val="none" w:sz="0" w:space="0" w:color="auto"/>
      </w:divBdr>
      <w:divsChild>
        <w:div w:id="344787206">
          <w:marLeft w:val="0"/>
          <w:marRight w:val="0"/>
          <w:marTop w:val="0"/>
          <w:marBottom w:val="0"/>
          <w:divBdr>
            <w:top w:val="none" w:sz="0" w:space="0" w:color="auto"/>
            <w:left w:val="none" w:sz="0" w:space="0" w:color="auto"/>
            <w:bottom w:val="none" w:sz="0" w:space="0" w:color="auto"/>
            <w:right w:val="none" w:sz="0" w:space="0" w:color="auto"/>
          </w:divBdr>
        </w:div>
        <w:div w:id="873805296">
          <w:marLeft w:val="0"/>
          <w:marRight w:val="0"/>
          <w:marTop w:val="0"/>
          <w:marBottom w:val="0"/>
          <w:divBdr>
            <w:top w:val="none" w:sz="0" w:space="0" w:color="auto"/>
            <w:left w:val="none" w:sz="0" w:space="0" w:color="auto"/>
            <w:bottom w:val="none" w:sz="0" w:space="0" w:color="auto"/>
            <w:right w:val="none" w:sz="0" w:space="0" w:color="auto"/>
          </w:divBdr>
        </w:div>
        <w:div w:id="757746967">
          <w:marLeft w:val="0"/>
          <w:marRight w:val="0"/>
          <w:marTop w:val="0"/>
          <w:marBottom w:val="0"/>
          <w:divBdr>
            <w:top w:val="none" w:sz="0" w:space="0" w:color="auto"/>
            <w:left w:val="none" w:sz="0" w:space="0" w:color="auto"/>
            <w:bottom w:val="none" w:sz="0" w:space="0" w:color="auto"/>
            <w:right w:val="none" w:sz="0" w:space="0" w:color="auto"/>
          </w:divBdr>
        </w:div>
        <w:div w:id="1810317647">
          <w:marLeft w:val="0"/>
          <w:marRight w:val="0"/>
          <w:marTop w:val="0"/>
          <w:marBottom w:val="0"/>
          <w:divBdr>
            <w:top w:val="none" w:sz="0" w:space="0" w:color="auto"/>
            <w:left w:val="none" w:sz="0" w:space="0" w:color="auto"/>
            <w:bottom w:val="none" w:sz="0" w:space="0" w:color="auto"/>
            <w:right w:val="none" w:sz="0" w:space="0" w:color="auto"/>
          </w:divBdr>
        </w:div>
        <w:div w:id="1940407177">
          <w:marLeft w:val="0"/>
          <w:marRight w:val="0"/>
          <w:marTop w:val="0"/>
          <w:marBottom w:val="0"/>
          <w:divBdr>
            <w:top w:val="none" w:sz="0" w:space="0" w:color="auto"/>
            <w:left w:val="none" w:sz="0" w:space="0" w:color="auto"/>
            <w:bottom w:val="none" w:sz="0" w:space="0" w:color="auto"/>
            <w:right w:val="none" w:sz="0" w:space="0" w:color="auto"/>
          </w:divBdr>
        </w:div>
        <w:div w:id="1126200971">
          <w:marLeft w:val="0"/>
          <w:marRight w:val="0"/>
          <w:marTop w:val="0"/>
          <w:marBottom w:val="0"/>
          <w:divBdr>
            <w:top w:val="none" w:sz="0" w:space="0" w:color="auto"/>
            <w:left w:val="none" w:sz="0" w:space="0" w:color="auto"/>
            <w:bottom w:val="none" w:sz="0" w:space="0" w:color="auto"/>
            <w:right w:val="none" w:sz="0" w:space="0" w:color="auto"/>
          </w:divBdr>
        </w:div>
        <w:div w:id="1581141088">
          <w:marLeft w:val="0"/>
          <w:marRight w:val="0"/>
          <w:marTop w:val="0"/>
          <w:marBottom w:val="0"/>
          <w:divBdr>
            <w:top w:val="none" w:sz="0" w:space="0" w:color="auto"/>
            <w:left w:val="none" w:sz="0" w:space="0" w:color="auto"/>
            <w:bottom w:val="none" w:sz="0" w:space="0" w:color="auto"/>
            <w:right w:val="none" w:sz="0" w:space="0" w:color="auto"/>
          </w:divBdr>
          <w:divsChild>
            <w:div w:id="1928537829">
              <w:marLeft w:val="0"/>
              <w:marRight w:val="0"/>
              <w:marTop w:val="0"/>
              <w:marBottom w:val="0"/>
              <w:divBdr>
                <w:top w:val="none" w:sz="0" w:space="0" w:color="auto"/>
                <w:left w:val="none" w:sz="0" w:space="0" w:color="auto"/>
                <w:bottom w:val="none" w:sz="0" w:space="0" w:color="auto"/>
                <w:right w:val="none" w:sz="0" w:space="0" w:color="auto"/>
              </w:divBdr>
            </w:div>
            <w:div w:id="426998239">
              <w:marLeft w:val="0"/>
              <w:marRight w:val="0"/>
              <w:marTop w:val="0"/>
              <w:marBottom w:val="0"/>
              <w:divBdr>
                <w:top w:val="none" w:sz="0" w:space="0" w:color="auto"/>
                <w:left w:val="none" w:sz="0" w:space="0" w:color="auto"/>
                <w:bottom w:val="none" w:sz="0" w:space="0" w:color="auto"/>
                <w:right w:val="none" w:sz="0" w:space="0" w:color="auto"/>
              </w:divBdr>
            </w:div>
            <w:div w:id="1304044365">
              <w:marLeft w:val="0"/>
              <w:marRight w:val="0"/>
              <w:marTop w:val="0"/>
              <w:marBottom w:val="0"/>
              <w:divBdr>
                <w:top w:val="none" w:sz="0" w:space="0" w:color="auto"/>
                <w:left w:val="none" w:sz="0" w:space="0" w:color="auto"/>
                <w:bottom w:val="none" w:sz="0" w:space="0" w:color="auto"/>
                <w:right w:val="none" w:sz="0" w:space="0" w:color="auto"/>
              </w:divBdr>
            </w:div>
          </w:divsChild>
        </w:div>
        <w:div w:id="2051100867">
          <w:marLeft w:val="0"/>
          <w:marRight w:val="0"/>
          <w:marTop w:val="0"/>
          <w:marBottom w:val="0"/>
          <w:divBdr>
            <w:top w:val="none" w:sz="0" w:space="0" w:color="auto"/>
            <w:left w:val="none" w:sz="0" w:space="0" w:color="auto"/>
            <w:bottom w:val="none" w:sz="0" w:space="0" w:color="auto"/>
            <w:right w:val="none" w:sz="0" w:space="0" w:color="auto"/>
          </w:divBdr>
        </w:div>
        <w:div w:id="1696733030">
          <w:marLeft w:val="0"/>
          <w:marRight w:val="0"/>
          <w:marTop w:val="0"/>
          <w:marBottom w:val="0"/>
          <w:divBdr>
            <w:top w:val="none" w:sz="0" w:space="0" w:color="auto"/>
            <w:left w:val="none" w:sz="0" w:space="0" w:color="auto"/>
            <w:bottom w:val="none" w:sz="0" w:space="0" w:color="auto"/>
            <w:right w:val="none" w:sz="0" w:space="0" w:color="auto"/>
          </w:divBdr>
          <w:divsChild>
            <w:div w:id="1756708066">
              <w:marLeft w:val="0"/>
              <w:marRight w:val="0"/>
              <w:marTop w:val="0"/>
              <w:marBottom w:val="0"/>
              <w:divBdr>
                <w:top w:val="none" w:sz="0" w:space="0" w:color="auto"/>
                <w:left w:val="none" w:sz="0" w:space="0" w:color="auto"/>
                <w:bottom w:val="none" w:sz="0" w:space="0" w:color="auto"/>
                <w:right w:val="none" w:sz="0" w:space="0" w:color="auto"/>
              </w:divBdr>
            </w:div>
            <w:div w:id="1222984469">
              <w:marLeft w:val="0"/>
              <w:marRight w:val="0"/>
              <w:marTop w:val="0"/>
              <w:marBottom w:val="0"/>
              <w:divBdr>
                <w:top w:val="none" w:sz="0" w:space="0" w:color="auto"/>
                <w:left w:val="none" w:sz="0" w:space="0" w:color="auto"/>
                <w:bottom w:val="none" w:sz="0" w:space="0" w:color="auto"/>
                <w:right w:val="none" w:sz="0" w:space="0" w:color="auto"/>
              </w:divBdr>
            </w:div>
            <w:div w:id="1258171056">
              <w:marLeft w:val="0"/>
              <w:marRight w:val="0"/>
              <w:marTop w:val="0"/>
              <w:marBottom w:val="0"/>
              <w:divBdr>
                <w:top w:val="none" w:sz="0" w:space="0" w:color="auto"/>
                <w:left w:val="none" w:sz="0" w:space="0" w:color="auto"/>
                <w:bottom w:val="none" w:sz="0" w:space="0" w:color="auto"/>
                <w:right w:val="none" w:sz="0" w:space="0" w:color="auto"/>
              </w:divBdr>
            </w:div>
            <w:div w:id="934435938">
              <w:marLeft w:val="0"/>
              <w:marRight w:val="0"/>
              <w:marTop w:val="0"/>
              <w:marBottom w:val="0"/>
              <w:divBdr>
                <w:top w:val="none" w:sz="0" w:space="0" w:color="auto"/>
                <w:left w:val="none" w:sz="0" w:space="0" w:color="auto"/>
                <w:bottom w:val="none" w:sz="0" w:space="0" w:color="auto"/>
                <w:right w:val="none" w:sz="0" w:space="0" w:color="auto"/>
              </w:divBdr>
            </w:div>
            <w:div w:id="1563640622">
              <w:marLeft w:val="0"/>
              <w:marRight w:val="0"/>
              <w:marTop w:val="0"/>
              <w:marBottom w:val="0"/>
              <w:divBdr>
                <w:top w:val="none" w:sz="0" w:space="0" w:color="auto"/>
                <w:left w:val="none" w:sz="0" w:space="0" w:color="auto"/>
                <w:bottom w:val="none" w:sz="0" w:space="0" w:color="auto"/>
                <w:right w:val="none" w:sz="0" w:space="0" w:color="auto"/>
              </w:divBdr>
            </w:div>
            <w:div w:id="1168904014">
              <w:marLeft w:val="0"/>
              <w:marRight w:val="0"/>
              <w:marTop w:val="0"/>
              <w:marBottom w:val="0"/>
              <w:divBdr>
                <w:top w:val="none" w:sz="0" w:space="0" w:color="auto"/>
                <w:left w:val="none" w:sz="0" w:space="0" w:color="auto"/>
                <w:bottom w:val="none" w:sz="0" w:space="0" w:color="auto"/>
                <w:right w:val="none" w:sz="0" w:space="0" w:color="auto"/>
              </w:divBdr>
            </w:div>
            <w:div w:id="1535385217">
              <w:marLeft w:val="0"/>
              <w:marRight w:val="0"/>
              <w:marTop w:val="0"/>
              <w:marBottom w:val="0"/>
              <w:divBdr>
                <w:top w:val="none" w:sz="0" w:space="0" w:color="auto"/>
                <w:left w:val="none" w:sz="0" w:space="0" w:color="auto"/>
                <w:bottom w:val="none" w:sz="0" w:space="0" w:color="auto"/>
                <w:right w:val="none" w:sz="0" w:space="0" w:color="auto"/>
              </w:divBdr>
            </w:div>
            <w:div w:id="2017295949">
              <w:marLeft w:val="0"/>
              <w:marRight w:val="0"/>
              <w:marTop w:val="0"/>
              <w:marBottom w:val="0"/>
              <w:divBdr>
                <w:top w:val="none" w:sz="0" w:space="0" w:color="auto"/>
                <w:left w:val="none" w:sz="0" w:space="0" w:color="auto"/>
                <w:bottom w:val="none" w:sz="0" w:space="0" w:color="auto"/>
                <w:right w:val="none" w:sz="0" w:space="0" w:color="auto"/>
              </w:divBdr>
            </w:div>
            <w:div w:id="209071501">
              <w:marLeft w:val="0"/>
              <w:marRight w:val="0"/>
              <w:marTop w:val="0"/>
              <w:marBottom w:val="0"/>
              <w:divBdr>
                <w:top w:val="none" w:sz="0" w:space="0" w:color="auto"/>
                <w:left w:val="none" w:sz="0" w:space="0" w:color="auto"/>
                <w:bottom w:val="none" w:sz="0" w:space="0" w:color="auto"/>
                <w:right w:val="none" w:sz="0" w:space="0" w:color="auto"/>
              </w:divBdr>
            </w:div>
            <w:div w:id="834340439">
              <w:marLeft w:val="0"/>
              <w:marRight w:val="0"/>
              <w:marTop w:val="0"/>
              <w:marBottom w:val="0"/>
              <w:divBdr>
                <w:top w:val="none" w:sz="0" w:space="0" w:color="auto"/>
                <w:left w:val="none" w:sz="0" w:space="0" w:color="auto"/>
                <w:bottom w:val="none" w:sz="0" w:space="0" w:color="auto"/>
                <w:right w:val="none" w:sz="0" w:space="0" w:color="auto"/>
              </w:divBdr>
            </w:div>
            <w:div w:id="900018513">
              <w:marLeft w:val="0"/>
              <w:marRight w:val="0"/>
              <w:marTop w:val="0"/>
              <w:marBottom w:val="0"/>
              <w:divBdr>
                <w:top w:val="none" w:sz="0" w:space="0" w:color="auto"/>
                <w:left w:val="none" w:sz="0" w:space="0" w:color="auto"/>
                <w:bottom w:val="none" w:sz="0" w:space="0" w:color="auto"/>
                <w:right w:val="none" w:sz="0" w:space="0" w:color="auto"/>
              </w:divBdr>
            </w:div>
            <w:div w:id="1507398506">
              <w:marLeft w:val="0"/>
              <w:marRight w:val="0"/>
              <w:marTop w:val="0"/>
              <w:marBottom w:val="0"/>
              <w:divBdr>
                <w:top w:val="none" w:sz="0" w:space="0" w:color="auto"/>
                <w:left w:val="none" w:sz="0" w:space="0" w:color="auto"/>
                <w:bottom w:val="none" w:sz="0" w:space="0" w:color="auto"/>
                <w:right w:val="none" w:sz="0" w:space="0" w:color="auto"/>
              </w:divBdr>
            </w:div>
            <w:div w:id="1189024636">
              <w:marLeft w:val="0"/>
              <w:marRight w:val="0"/>
              <w:marTop w:val="0"/>
              <w:marBottom w:val="0"/>
              <w:divBdr>
                <w:top w:val="none" w:sz="0" w:space="0" w:color="auto"/>
                <w:left w:val="none" w:sz="0" w:space="0" w:color="auto"/>
                <w:bottom w:val="none" w:sz="0" w:space="0" w:color="auto"/>
                <w:right w:val="none" w:sz="0" w:space="0" w:color="auto"/>
              </w:divBdr>
            </w:div>
            <w:div w:id="1267888766">
              <w:marLeft w:val="0"/>
              <w:marRight w:val="0"/>
              <w:marTop w:val="0"/>
              <w:marBottom w:val="0"/>
              <w:divBdr>
                <w:top w:val="none" w:sz="0" w:space="0" w:color="auto"/>
                <w:left w:val="none" w:sz="0" w:space="0" w:color="auto"/>
                <w:bottom w:val="none" w:sz="0" w:space="0" w:color="auto"/>
                <w:right w:val="none" w:sz="0" w:space="0" w:color="auto"/>
              </w:divBdr>
            </w:div>
            <w:div w:id="35324219">
              <w:marLeft w:val="0"/>
              <w:marRight w:val="0"/>
              <w:marTop w:val="0"/>
              <w:marBottom w:val="0"/>
              <w:divBdr>
                <w:top w:val="none" w:sz="0" w:space="0" w:color="auto"/>
                <w:left w:val="none" w:sz="0" w:space="0" w:color="auto"/>
                <w:bottom w:val="none" w:sz="0" w:space="0" w:color="auto"/>
                <w:right w:val="none" w:sz="0" w:space="0" w:color="auto"/>
              </w:divBdr>
            </w:div>
            <w:div w:id="1816949877">
              <w:marLeft w:val="0"/>
              <w:marRight w:val="0"/>
              <w:marTop w:val="0"/>
              <w:marBottom w:val="0"/>
              <w:divBdr>
                <w:top w:val="none" w:sz="0" w:space="0" w:color="auto"/>
                <w:left w:val="none" w:sz="0" w:space="0" w:color="auto"/>
                <w:bottom w:val="none" w:sz="0" w:space="0" w:color="auto"/>
                <w:right w:val="none" w:sz="0" w:space="0" w:color="auto"/>
              </w:divBdr>
            </w:div>
            <w:div w:id="1415324998">
              <w:marLeft w:val="0"/>
              <w:marRight w:val="0"/>
              <w:marTop w:val="0"/>
              <w:marBottom w:val="0"/>
              <w:divBdr>
                <w:top w:val="none" w:sz="0" w:space="0" w:color="auto"/>
                <w:left w:val="none" w:sz="0" w:space="0" w:color="auto"/>
                <w:bottom w:val="none" w:sz="0" w:space="0" w:color="auto"/>
                <w:right w:val="none" w:sz="0" w:space="0" w:color="auto"/>
              </w:divBdr>
            </w:div>
            <w:div w:id="433867602">
              <w:marLeft w:val="0"/>
              <w:marRight w:val="0"/>
              <w:marTop w:val="0"/>
              <w:marBottom w:val="0"/>
              <w:divBdr>
                <w:top w:val="none" w:sz="0" w:space="0" w:color="auto"/>
                <w:left w:val="none" w:sz="0" w:space="0" w:color="auto"/>
                <w:bottom w:val="none" w:sz="0" w:space="0" w:color="auto"/>
                <w:right w:val="none" w:sz="0" w:space="0" w:color="auto"/>
              </w:divBdr>
            </w:div>
            <w:div w:id="812480818">
              <w:marLeft w:val="0"/>
              <w:marRight w:val="0"/>
              <w:marTop w:val="0"/>
              <w:marBottom w:val="0"/>
              <w:divBdr>
                <w:top w:val="none" w:sz="0" w:space="0" w:color="auto"/>
                <w:left w:val="none" w:sz="0" w:space="0" w:color="auto"/>
                <w:bottom w:val="none" w:sz="0" w:space="0" w:color="auto"/>
                <w:right w:val="none" w:sz="0" w:space="0" w:color="auto"/>
              </w:divBdr>
            </w:div>
            <w:div w:id="1522090656">
              <w:marLeft w:val="0"/>
              <w:marRight w:val="0"/>
              <w:marTop w:val="0"/>
              <w:marBottom w:val="0"/>
              <w:divBdr>
                <w:top w:val="none" w:sz="0" w:space="0" w:color="auto"/>
                <w:left w:val="none" w:sz="0" w:space="0" w:color="auto"/>
                <w:bottom w:val="none" w:sz="0" w:space="0" w:color="auto"/>
                <w:right w:val="none" w:sz="0" w:space="0" w:color="auto"/>
              </w:divBdr>
            </w:div>
            <w:div w:id="429935413">
              <w:marLeft w:val="0"/>
              <w:marRight w:val="0"/>
              <w:marTop w:val="0"/>
              <w:marBottom w:val="0"/>
              <w:divBdr>
                <w:top w:val="none" w:sz="0" w:space="0" w:color="auto"/>
                <w:left w:val="none" w:sz="0" w:space="0" w:color="auto"/>
                <w:bottom w:val="none" w:sz="0" w:space="0" w:color="auto"/>
                <w:right w:val="none" w:sz="0" w:space="0" w:color="auto"/>
              </w:divBdr>
            </w:div>
            <w:div w:id="1305425945">
              <w:marLeft w:val="0"/>
              <w:marRight w:val="0"/>
              <w:marTop w:val="0"/>
              <w:marBottom w:val="0"/>
              <w:divBdr>
                <w:top w:val="none" w:sz="0" w:space="0" w:color="auto"/>
                <w:left w:val="none" w:sz="0" w:space="0" w:color="auto"/>
                <w:bottom w:val="none" w:sz="0" w:space="0" w:color="auto"/>
                <w:right w:val="none" w:sz="0" w:space="0" w:color="auto"/>
              </w:divBdr>
            </w:div>
            <w:div w:id="955140237">
              <w:marLeft w:val="0"/>
              <w:marRight w:val="0"/>
              <w:marTop w:val="0"/>
              <w:marBottom w:val="0"/>
              <w:divBdr>
                <w:top w:val="none" w:sz="0" w:space="0" w:color="auto"/>
                <w:left w:val="none" w:sz="0" w:space="0" w:color="auto"/>
                <w:bottom w:val="none" w:sz="0" w:space="0" w:color="auto"/>
                <w:right w:val="none" w:sz="0" w:space="0" w:color="auto"/>
              </w:divBdr>
            </w:div>
            <w:div w:id="153761803">
              <w:marLeft w:val="0"/>
              <w:marRight w:val="0"/>
              <w:marTop w:val="0"/>
              <w:marBottom w:val="0"/>
              <w:divBdr>
                <w:top w:val="none" w:sz="0" w:space="0" w:color="auto"/>
                <w:left w:val="none" w:sz="0" w:space="0" w:color="auto"/>
                <w:bottom w:val="none" w:sz="0" w:space="0" w:color="auto"/>
                <w:right w:val="none" w:sz="0" w:space="0" w:color="auto"/>
              </w:divBdr>
            </w:div>
            <w:div w:id="411784014">
              <w:marLeft w:val="0"/>
              <w:marRight w:val="0"/>
              <w:marTop w:val="0"/>
              <w:marBottom w:val="0"/>
              <w:divBdr>
                <w:top w:val="none" w:sz="0" w:space="0" w:color="auto"/>
                <w:left w:val="none" w:sz="0" w:space="0" w:color="auto"/>
                <w:bottom w:val="none" w:sz="0" w:space="0" w:color="auto"/>
                <w:right w:val="none" w:sz="0" w:space="0" w:color="auto"/>
              </w:divBdr>
            </w:div>
            <w:div w:id="265044427">
              <w:marLeft w:val="0"/>
              <w:marRight w:val="0"/>
              <w:marTop w:val="0"/>
              <w:marBottom w:val="0"/>
              <w:divBdr>
                <w:top w:val="none" w:sz="0" w:space="0" w:color="auto"/>
                <w:left w:val="none" w:sz="0" w:space="0" w:color="auto"/>
                <w:bottom w:val="none" w:sz="0" w:space="0" w:color="auto"/>
                <w:right w:val="none" w:sz="0" w:space="0" w:color="auto"/>
              </w:divBdr>
            </w:div>
            <w:div w:id="508369654">
              <w:marLeft w:val="0"/>
              <w:marRight w:val="0"/>
              <w:marTop w:val="0"/>
              <w:marBottom w:val="0"/>
              <w:divBdr>
                <w:top w:val="none" w:sz="0" w:space="0" w:color="auto"/>
                <w:left w:val="none" w:sz="0" w:space="0" w:color="auto"/>
                <w:bottom w:val="none" w:sz="0" w:space="0" w:color="auto"/>
                <w:right w:val="none" w:sz="0" w:space="0" w:color="auto"/>
              </w:divBdr>
            </w:div>
            <w:div w:id="598488200">
              <w:marLeft w:val="0"/>
              <w:marRight w:val="0"/>
              <w:marTop w:val="0"/>
              <w:marBottom w:val="0"/>
              <w:divBdr>
                <w:top w:val="none" w:sz="0" w:space="0" w:color="auto"/>
                <w:left w:val="none" w:sz="0" w:space="0" w:color="auto"/>
                <w:bottom w:val="none" w:sz="0" w:space="0" w:color="auto"/>
                <w:right w:val="none" w:sz="0" w:space="0" w:color="auto"/>
              </w:divBdr>
            </w:div>
            <w:div w:id="1706910576">
              <w:marLeft w:val="0"/>
              <w:marRight w:val="0"/>
              <w:marTop w:val="0"/>
              <w:marBottom w:val="0"/>
              <w:divBdr>
                <w:top w:val="none" w:sz="0" w:space="0" w:color="auto"/>
                <w:left w:val="none" w:sz="0" w:space="0" w:color="auto"/>
                <w:bottom w:val="none" w:sz="0" w:space="0" w:color="auto"/>
                <w:right w:val="none" w:sz="0" w:space="0" w:color="auto"/>
              </w:divBdr>
            </w:div>
          </w:divsChild>
        </w:div>
        <w:div w:id="1023287634">
          <w:marLeft w:val="0"/>
          <w:marRight w:val="0"/>
          <w:marTop w:val="0"/>
          <w:marBottom w:val="0"/>
          <w:divBdr>
            <w:top w:val="none" w:sz="0" w:space="0" w:color="auto"/>
            <w:left w:val="none" w:sz="0" w:space="0" w:color="auto"/>
            <w:bottom w:val="none" w:sz="0" w:space="0" w:color="auto"/>
            <w:right w:val="none" w:sz="0" w:space="0" w:color="auto"/>
          </w:divBdr>
        </w:div>
        <w:div w:id="17094546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ur-lex.europa.eu/legal-content/HR/TXT/HTML/?uri=CELEX:52018XC0409(01)&amp;from=EN" TargetMode="External"/><Relationship Id="rId21" Type="http://schemas.openxmlformats.org/officeDocument/2006/relationships/hyperlink" Target="https://eur-lex.europa.eu/legal-content/HR/TXT/HTML/?uri=CELEX:52018XC0409(01)&amp;from=EN" TargetMode="External"/><Relationship Id="rId42" Type="http://schemas.openxmlformats.org/officeDocument/2006/relationships/hyperlink" Target="https://eur-lex.europa.eu/legal-content/HR/TXT/HTML/?uri=CELEX:52018XC0409(01)&amp;from=EN" TargetMode="External"/><Relationship Id="rId63" Type="http://schemas.openxmlformats.org/officeDocument/2006/relationships/hyperlink" Target="https://eur-lex.europa.eu/legal-content/HR/AUTO/?uri=OJ:L:2004:158:TOC" TargetMode="External"/><Relationship Id="rId84" Type="http://schemas.openxmlformats.org/officeDocument/2006/relationships/image" Target="media/image7.jpeg"/><Relationship Id="rId138" Type="http://schemas.openxmlformats.org/officeDocument/2006/relationships/hyperlink" Target="https://eur-lex.europa.eu/legal-content/HR/TXT/HTML/?uri=CELEX:52018XC0409(01)&amp;from=EN" TargetMode="External"/><Relationship Id="rId159" Type="http://schemas.openxmlformats.org/officeDocument/2006/relationships/hyperlink" Target="https://eur-lex.europa.eu/legal-content/HR/TXT/HTML/?uri=CELEX:52018XC0409(01)&amp;from=EN" TargetMode="External"/><Relationship Id="rId170" Type="http://schemas.openxmlformats.org/officeDocument/2006/relationships/hyperlink" Target="https://eur-lex.europa.eu/legal-content/HR/TXT/HTML/?uri=CELEX:52018XC0409(01)&amp;from=EN" TargetMode="External"/><Relationship Id="rId191" Type="http://schemas.openxmlformats.org/officeDocument/2006/relationships/image" Target="media/image17.jpeg"/><Relationship Id="rId205" Type="http://schemas.openxmlformats.org/officeDocument/2006/relationships/hyperlink" Target="https://eur-lex.europa.eu/legal-content/HR/TXT/HTML/?uri=CELEX:52018XC0409(01)&amp;from=EN" TargetMode="External"/><Relationship Id="rId226" Type="http://schemas.openxmlformats.org/officeDocument/2006/relationships/hyperlink" Target="https://eur-lex.europa.eu/legal-content/HR/AUTO/?uri=OJ:L:2017:116:TOC" TargetMode="External"/><Relationship Id="rId247" Type="http://schemas.openxmlformats.org/officeDocument/2006/relationships/hyperlink" Target="https://eur-lex.europa.eu/legal-content/HR/TXT/HTML/?uri=CELEX:52018XC0409(01)&amp;from=EN" TargetMode="External"/><Relationship Id="rId107" Type="http://schemas.openxmlformats.org/officeDocument/2006/relationships/hyperlink" Target="https://eur-lex.europa.eu/legal-content/HR/TXT/HTML/?uri=CELEX:52018XC0409(01)&amp;from=EN" TargetMode="External"/><Relationship Id="rId268" Type="http://schemas.openxmlformats.org/officeDocument/2006/relationships/hyperlink" Target="https://eur-lex.europa.eu/legal-content/HR/TXT/HTML/?uri=CELEX:52018XC0409(01)&amp;from=EN" TargetMode="External"/><Relationship Id="rId11" Type="http://schemas.openxmlformats.org/officeDocument/2006/relationships/hyperlink" Target="https://eur-lex.europa.eu/legal-content/HR/TXT/HTML/?uri=CELEX:52018XC0409(01)&amp;from=EN" TargetMode="External"/><Relationship Id="rId32" Type="http://schemas.openxmlformats.org/officeDocument/2006/relationships/hyperlink" Target="https://eur-lex.europa.eu/legal-content/HR/TXT/HTML/?uri=CELEX:52018XC0409(01)&amp;from=EN" TargetMode="External"/><Relationship Id="rId53" Type="http://schemas.openxmlformats.org/officeDocument/2006/relationships/hyperlink" Target="https://eur-lex.europa.eu/legal-content/HR/AUTO/?uri=OJ:L:2006:190:TOC" TargetMode="External"/><Relationship Id="rId74" Type="http://schemas.openxmlformats.org/officeDocument/2006/relationships/hyperlink" Target="https://eur-lex.europa.eu/legal-content/HR/TXT/HTML/?uri=CELEX:52018XC0409(01)&amp;from=EN" TargetMode="External"/><Relationship Id="rId128" Type="http://schemas.openxmlformats.org/officeDocument/2006/relationships/hyperlink" Target="https://eur-lex.europa.eu/legal-content/HR/TXT/HTML/?uri=CELEX:52018XC0409(01)&amp;from=EN" TargetMode="External"/><Relationship Id="rId149" Type="http://schemas.openxmlformats.org/officeDocument/2006/relationships/hyperlink" Target="https://eur-lex.europa.eu/legal-content/HR/TXT/HTML/?uri=CELEX:52018XC0409(01)&amp;from=EN" TargetMode="External"/><Relationship Id="rId5" Type="http://schemas.openxmlformats.org/officeDocument/2006/relationships/hyperlink" Target="https://eur-lex.europa.eu/legal-content/HR/TXT/HTML/?uri=CELEX:52018XC0409(01)&amp;from=EN" TargetMode="External"/><Relationship Id="rId95" Type="http://schemas.openxmlformats.org/officeDocument/2006/relationships/hyperlink" Target="https://eur-lex.europa.eu/legal-content/HR/TXT/HTML/?uri=CELEX:52018XC0409(01)&amp;from=EN" TargetMode="External"/><Relationship Id="rId160" Type="http://schemas.openxmlformats.org/officeDocument/2006/relationships/hyperlink" Target="https://eur-lex.europa.eu/legal-content/HR/TXT/HTML/?uri=CELEX:52018XC0409(01)&amp;from=EN" TargetMode="External"/><Relationship Id="rId181" Type="http://schemas.openxmlformats.org/officeDocument/2006/relationships/image" Target="media/image14.jpeg"/><Relationship Id="rId216" Type="http://schemas.openxmlformats.org/officeDocument/2006/relationships/hyperlink" Target="https://eur-lex.europa.eu/legal-content/HR/TXT/HTML/?uri=CELEX:52018XC0409(01)&amp;from=EN" TargetMode="External"/><Relationship Id="rId237" Type="http://schemas.openxmlformats.org/officeDocument/2006/relationships/hyperlink" Target="https://eur-lex.europa.eu/legal-content/HR/TXT/HTML/?uri=CELEX:52018XC0409(01)&amp;from=EN" TargetMode="External"/><Relationship Id="rId258" Type="http://schemas.openxmlformats.org/officeDocument/2006/relationships/hyperlink" Target="https://eur-lex.europa.eu/legal-content/HR/TXT/HTML/?uri=CELEX:52018XC0409(01)&amp;from=EN" TargetMode="External"/><Relationship Id="rId279" Type="http://schemas.openxmlformats.org/officeDocument/2006/relationships/hyperlink" Target="https://eur-lex.europa.eu/legal-content/HR/TXT/HTML/?uri=CELEX:52018XC0409(01)&amp;from=EN" TargetMode="External"/><Relationship Id="rId22" Type="http://schemas.openxmlformats.org/officeDocument/2006/relationships/hyperlink" Target="https://eur-lex.europa.eu/legal-content/HR/TXT/HTML/?uri=CELEX:52018XC0409(01)&amp;from=EN" TargetMode="External"/><Relationship Id="rId43" Type="http://schemas.openxmlformats.org/officeDocument/2006/relationships/hyperlink" Target="https://eur-lex.europa.eu/legal-content/HR/AUTO/?uri=OJ:L:2010:334:TOC" TargetMode="External"/><Relationship Id="rId64" Type="http://schemas.openxmlformats.org/officeDocument/2006/relationships/hyperlink" Target="https://eur-lex.europa.eu/legal-content/HR/TXT/HTML/?uri=CELEX:52018XC0409(01)&amp;from=EN" TargetMode="External"/><Relationship Id="rId118" Type="http://schemas.openxmlformats.org/officeDocument/2006/relationships/hyperlink" Target="https://eur-lex.europa.eu/legal-content/HR/TXT/HTML/?uri=CELEX:52018XC0409(01)&amp;from=EN" TargetMode="External"/><Relationship Id="rId139" Type="http://schemas.openxmlformats.org/officeDocument/2006/relationships/hyperlink" Target="https://eur-lex.europa.eu/legal-content/HR/TXT/HTML/?uri=CELEX:52018XC0409(01)&amp;from=EN" TargetMode="External"/><Relationship Id="rId85" Type="http://schemas.openxmlformats.org/officeDocument/2006/relationships/hyperlink" Target="https://eur-lex.europa.eu/legal-content/HR/TXT/HTML/?uri=CELEX:52018XC0409(01)&amp;from=EN" TargetMode="External"/><Relationship Id="rId150" Type="http://schemas.openxmlformats.org/officeDocument/2006/relationships/hyperlink" Target="https://eur-lex.europa.eu/legal-content/HR/TXT/HTML/?uri=CELEX:52018XC0409(01)&amp;from=EN" TargetMode="External"/><Relationship Id="rId171" Type="http://schemas.openxmlformats.org/officeDocument/2006/relationships/hyperlink" Target="https://eur-lex.europa.eu/legal-content/HR/TXT/HTML/?uri=CELEX:52018XC0409(01)&amp;from=EN" TargetMode="External"/><Relationship Id="rId192" Type="http://schemas.openxmlformats.org/officeDocument/2006/relationships/hyperlink" Target="https://eur-lex.europa.eu/legal-content/HR/TXT/HTML/?uri=CELEX:52018XC0409(01)&amp;from=EN" TargetMode="External"/><Relationship Id="rId206" Type="http://schemas.openxmlformats.org/officeDocument/2006/relationships/image" Target="media/image20.jpeg"/><Relationship Id="rId227" Type="http://schemas.openxmlformats.org/officeDocument/2006/relationships/hyperlink" Target="https://eur-lex.europa.eu/legal-content/HR/TXT/HTML/?uri=CELEX:52018XC0409(01)&amp;from=EN" TargetMode="External"/><Relationship Id="rId248" Type="http://schemas.openxmlformats.org/officeDocument/2006/relationships/hyperlink" Target="https://eur-lex.europa.eu/legal-content/HR/TXT/HTML/?uri=CELEX:52018XC0409(01)&amp;from=EN" TargetMode="External"/><Relationship Id="rId269" Type="http://schemas.openxmlformats.org/officeDocument/2006/relationships/hyperlink" Target="https://eur-lex.europa.eu/legal-content/HR/TXT/HTML/?uri=CELEX:52018XC0409(01)&amp;from=EN" TargetMode="External"/><Relationship Id="rId12" Type="http://schemas.openxmlformats.org/officeDocument/2006/relationships/hyperlink" Target="https://eur-lex.europa.eu/legal-content/HR/TXT/HTML/?uri=CELEX:52018XC0409(01)&amp;from=EN" TargetMode="External"/><Relationship Id="rId33" Type="http://schemas.openxmlformats.org/officeDocument/2006/relationships/hyperlink" Target="https://eur-lex.europa.eu/legal-content/HR/AUTO/?uri=OJ:L:2000:226:TOC" TargetMode="External"/><Relationship Id="rId108" Type="http://schemas.openxmlformats.org/officeDocument/2006/relationships/hyperlink" Target="https://eur-lex.europa.eu/legal-content/HR/TXT/HTML/?uri=CELEX:52018XC0409(01)&amp;from=EN" TargetMode="External"/><Relationship Id="rId129" Type="http://schemas.openxmlformats.org/officeDocument/2006/relationships/hyperlink" Target="https://eur-lex.europa.eu/legal-content/HR/TXT/HTML/?uri=CELEX:52018XC0409(01)&amp;from=EN" TargetMode="External"/><Relationship Id="rId280" Type="http://schemas.openxmlformats.org/officeDocument/2006/relationships/hyperlink" Target="https://eur-lex.europa.eu/legal-content/HR/TXT/HTML/?uri=CELEX:52018XC0409(01)&amp;from=EN" TargetMode="External"/><Relationship Id="rId54" Type="http://schemas.openxmlformats.org/officeDocument/2006/relationships/hyperlink" Target="https://eur-lex.europa.eu/legal-content/HR/TXT/HTML/?uri=CELEX:52018XC0409(01)&amp;from=EN" TargetMode="External"/><Relationship Id="rId75" Type="http://schemas.openxmlformats.org/officeDocument/2006/relationships/hyperlink" Target="https://eur-lex.europa.eu/legal-content/HR/TXT/HTML/?uri=CELEX:52018XC0409(01)&amp;from=EN" TargetMode="External"/><Relationship Id="rId96" Type="http://schemas.openxmlformats.org/officeDocument/2006/relationships/hyperlink" Target="https://eur-lex.europa.eu/legal-content/HR/TXT/HTML/?uri=CELEX:52018XC0409(01)&amp;from=EN" TargetMode="External"/><Relationship Id="rId140" Type="http://schemas.openxmlformats.org/officeDocument/2006/relationships/hyperlink" Target="https://eur-lex.europa.eu/legal-content/HR/TXT/HTML/?uri=CELEX:52018XC0409(01)&amp;from=EN" TargetMode="External"/><Relationship Id="rId161" Type="http://schemas.openxmlformats.org/officeDocument/2006/relationships/hyperlink" Target="https://eur-lex.europa.eu/legal-content/HR/TXT/HTML/?uri=CELEX:52018XC0409(01)&amp;from=EN" TargetMode="External"/><Relationship Id="rId182" Type="http://schemas.openxmlformats.org/officeDocument/2006/relationships/hyperlink" Target="https://eur-lex.europa.eu/legal-content/HR/TXT/HTML/?uri=CELEX:52018XC0409(01)&amp;from=EN" TargetMode="External"/><Relationship Id="rId217" Type="http://schemas.openxmlformats.org/officeDocument/2006/relationships/hyperlink" Target="https://eur-lex.europa.eu/legal-content/HR/TXT/HTML/?uri=CELEX:52018XC0409(01)&amp;from=EN" TargetMode="External"/><Relationship Id="rId6" Type="http://schemas.openxmlformats.org/officeDocument/2006/relationships/hyperlink" Target="https://eur-lex.europa.eu/legal-content/HR/TXT/HTML/?uri=CELEX:52018XC0409(01)&amp;from=EN" TargetMode="External"/><Relationship Id="rId238" Type="http://schemas.openxmlformats.org/officeDocument/2006/relationships/hyperlink" Target="https://eur-lex.europa.eu/legal-content/HR/TXT/HTML/?uri=CELEX:52018XC0409(01)&amp;from=EN" TargetMode="External"/><Relationship Id="rId259" Type="http://schemas.openxmlformats.org/officeDocument/2006/relationships/hyperlink" Target="https://eur-lex.europa.eu/legal-content/HR/TXT/HTML/?uri=CELEX:52018XC0409(01)&amp;from=EN" TargetMode="External"/><Relationship Id="rId23" Type="http://schemas.openxmlformats.org/officeDocument/2006/relationships/hyperlink" Target="https://eur-lex.europa.eu/legal-content/HR/TXT/HTML/?uri=CELEX:52018XC0409(01)&amp;from=EN" TargetMode="External"/><Relationship Id="rId119" Type="http://schemas.openxmlformats.org/officeDocument/2006/relationships/hyperlink" Target="https://eur-lex.europa.eu/legal-content/HR/TXT/HTML/?uri=CELEX:52018XC0409(01)&amp;from=EN" TargetMode="External"/><Relationship Id="rId270" Type="http://schemas.openxmlformats.org/officeDocument/2006/relationships/hyperlink" Target="https://eur-lex.europa.eu/legal-content/HR/TXT/HTML/?uri=CELEX:52018XC0409(01)&amp;from=EN" TargetMode="External"/><Relationship Id="rId44" Type="http://schemas.openxmlformats.org/officeDocument/2006/relationships/hyperlink" Target="https://eur-lex.europa.eu/legal-content/HR/TXT/HTML/?uri=CELEX:52018XC0409(01)&amp;from=EN" TargetMode="External"/><Relationship Id="rId65" Type="http://schemas.openxmlformats.org/officeDocument/2006/relationships/hyperlink" Target="https://eur-lex.europa.eu/legal-content/HR/TXT/HTML/?uri=CELEX:52018XC0409(01)&amp;from=EN" TargetMode="External"/><Relationship Id="rId86" Type="http://schemas.openxmlformats.org/officeDocument/2006/relationships/hyperlink" Target="https://eur-lex.europa.eu/legal-content/HR/TXT/HTML/?uri=CELEX:52018XC0409(01)&amp;from=EN" TargetMode="External"/><Relationship Id="rId130" Type="http://schemas.openxmlformats.org/officeDocument/2006/relationships/hyperlink" Target="https://eur-lex.europa.eu/legal-content/HR/TXT/HTML/?uri=CELEX:52018XC0409(01)&amp;from=EN" TargetMode="External"/><Relationship Id="rId151" Type="http://schemas.openxmlformats.org/officeDocument/2006/relationships/hyperlink" Target="https://eur-lex.europa.eu/legal-content/HR/TXT/HTML/?uri=CELEX:52018XC0409(01)&amp;from=EN" TargetMode="External"/><Relationship Id="rId172" Type="http://schemas.openxmlformats.org/officeDocument/2006/relationships/hyperlink" Target="https://eur-lex.europa.eu/legal-content/HR/TXT/HTML/?uri=CELEX:52018XC0409(01)&amp;from=EN" TargetMode="External"/><Relationship Id="rId193" Type="http://schemas.openxmlformats.org/officeDocument/2006/relationships/hyperlink" Target="https://eur-lex.europa.eu/legal-content/HR/TXT/HTML/?uri=CELEX:52018XC0409(01)&amp;from=EN" TargetMode="External"/><Relationship Id="rId202" Type="http://schemas.openxmlformats.org/officeDocument/2006/relationships/image" Target="media/image19.jpeg"/><Relationship Id="rId207" Type="http://schemas.openxmlformats.org/officeDocument/2006/relationships/hyperlink" Target="https://eur-lex.europa.eu/legal-content/HR/TXT/HTML/?uri=CELEX:52018XC0409(01)&amp;from=EN" TargetMode="External"/><Relationship Id="rId223" Type="http://schemas.openxmlformats.org/officeDocument/2006/relationships/image" Target="media/image23.jpeg"/><Relationship Id="rId228" Type="http://schemas.openxmlformats.org/officeDocument/2006/relationships/hyperlink" Target="https://eur-lex.europa.eu/legal-content/HR/TXT/HTML/?uri=CELEX:52018XC0409(01)&amp;from=EN" TargetMode="External"/><Relationship Id="rId244" Type="http://schemas.openxmlformats.org/officeDocument/2006/relationships/hyperlink" Target="https://eur-lex.europa.eu/legal-content/HR/TXT/HTML/?uri=CELEX:52018XC0409(01)&amp;from=EN" TargetMode="External"/><Relationship Id="rId249" Type="http://schemas.openxmlformats.org/officeDocument/2006/relationships/hyperlink" Target="https://eur-lex.europa.eu/legal-content/HR/TXT/HTML/?uri=CELEX:52018XC0409(01)&amp;from=EN" TargetMode="External"/><Relationship Id="rId13" Type="http://schemas.openxmlformats.org/officeDocument/2006/relationships/hyperlink" Target="https://eur-lex.europa.eu/legal-content/HR/TXT/HTML/?uri=CELEX:52018XC0409(01)&amp;from=EN" TargetMode="External"/><Relationship Id="rId18" Type="http://schemas.openxmlformats.org/officeDocument/2006/relationships/hyperlink" Target="https://eur-lex.europa.eu/legal-content/HR/TXT/HTML/?uri=CELEX:52018XC0409(01)&amp;from=EN" TargetMode="External"/><Relationship Id="rId39" Type="http://schemas.openxmlformats.org/officeDocument/2006/relationships/hyperlink" Target="https://eur-lex.europa.eu/legal-content/HR/TXT/HTML/?uri=CELEX:52018XC0409(01)&amp;from=EN" TargetMode="External"/><Relationship Id="rId109" Type="http://schemas.openxmlformats.org/officeDocument/2006/relationships/hyperlink" Target="https://eur-lex.europa.eu/legal-content/HR/TXT/HTML/?uri=CELEX:52018XC0409(01)&amp;from=EN" TargetMode="External"/><Relationship Id="rId260" Type="http://schemas.openxmlformats.org/officeDocument/2006/relationships/hyperlink" Target="https://eur-lex.europa.eu/legal-content/HR/TXT/HTML/?uri=CELEX:52018XC0409(01)&amp;from=EN" TargetMode="External"/><Relationship Id="rId265" Type="http://schemas.openxmlformats.org/officeDocument/2006/relationships/hyperlink" Target="https://eur-lex.europa.eu/legal-content/HR/TXT/HTML/?uri=CELEX:52018XC0409(01)&amp;from=EN" TargetMode="External"/><Relationship Id="rId281" Type="http://schemas.openxmlformats.org/officeDocument/2006/relationships/fontTable" Target="fontTable.xml"/><Relationship Id="rId34" Type="http://schemas.openxmlformats.org/officeDocument/2006/relationships/hyperlink" Target="https://eur-lex.europa.eu/legal-content/HR/TXT/HTML/?uri=CELEX:52018XC0409(01)&amp;from=EN" TargetMode="External"/><Relationship Id="rId50" Type="http://schemas.openxmlformats.org/officeDocument/2006/relationships/hyperlink" Target="https://eur-lex.europa.eu/legal-content/HR/TXT/HTML/?uri=CELEX:52018XC0409(01)&amp;from=EN" TargetMode="External"/><Relationship Id="rId55" Type="http://schemas.openxmlformats.org/officeDocument/2006/relationships/hyperlink" Target="https://eur-lex.europa.eu/legal-content/HR/AUTO/?uri=OJ:L:1999:182:TOC" TargetMode="External"/><Relationship Id="rId76" Type="http://schemas.openxmlformats.org/officeDocument/2006/relationships/hyperlink" Target="https://eur-lex.europa.eu/legal-content/HR/TXT/HTML/?uri=CELEX:52018XC0409(01)&amp;from=EN" TargetMode="External"/><Relationship Id="rId97" Type="http://schemas.openxmlformats.org/officeDocument/2006/relationships/hyperlink" Target="https://eur-lex.europa.eu/legal-content/HR/TXT/HTML/?uri=CELEX:52018XC0409(01)&amp;from=EN" TargetMode="External"/><Relationship Id="rId104" Type="http://schemas.openxmlformats.org/officeDocument/2006/relationships/hyperlink" Target="https://eur-lex.europa.eu/legal-content/HR/TXT/HTML/?uri=CELEX:52018XC0409(01)&amp;from=EN" TargetMode="External"/><Relationship Id="rId120" Type="http://schemas.openxmlformats.org/officeDocument/2006/relationships/hyperlink" Target="https://eur-lex.europa.eu/legal-content/HR/TXT/HTML/?uri=CELEX:52018XC0409(01)&amp;from=EN" TargetMode="External"/><Relationship Id="rId125" Type="http://schemas.openxmlformats.org/officeDocument/2006/relationships/hyperlink" Target="https://eur-lex.europa.eu/legal-content/HR/TXT/HTML/?uri=CELEX:52018XC0409(01)&amp;from=EN" TargetMode="External"/><Relationship Id="rId141" Type="http://schemas.openxmlformats.org/officeDocument/2006/relationships/hyperlink" Target="https://eur-lex.europa.eu/legal-content/HR/TXT/HTML/?uri=CELEX:52018XC0409(01)&amp;from=EN" TargetMode="External"/><Relationship Id="rId146" Type="http://schemas.openxmlformats.org/officeDocument/2006/relationships/hyperlink" Target="https://eur-lex.europa.eu/legal-content/HR/TXT/HTML/?uri=CELEX:52018XC0409(01)&amp;from=EN" TargetMode="External"/><Relationship Id="rId167" Type="http://schemas.openxmlformats.org/officeDocument/2006/relationships/image" Target="media/image11.jpeg"/><Relationship Id="rId188" Type="http://schemas.openxmlformats.org/officeDocument/2006/relationships/hyperlink" Target="https://eur-lex.europa.eu/legal-content/HR/TXT/HTML/?uri=CELEX:52018XC0409(01)&amp;from=EN" TargetMode="External"/><Relationship Id="rId7" Type="http://schemas.openxmlformats.org/officeDocument/2006/relationships/hyperlink" Target="https://eur-lex.europa.eu/legal-content/HR/TXT/HTML/?uri=CELEX:52018XC0409(01)&amp;from=EN" TargetMode="External"/><Relationship Id="rId71" Type="http://schemas.openxmlformats.org/officeDocument/2006/relationships/hyperlink" Target="https://eur-lex.europa.eu/legal-content/HR/AUTO/?uri=OJ:L:2006:266:TOC" TargetMode="External"/><Relationship Id="rId92" Type="http://schemas.openxmlformats.org/officeDocument/2006/relationships/hyperlink" Target="https://eur-lex.europa.eu/legal-content/HR/TXT/HTML/?uri=CELEX:52018XC0409(01)&amp;from=EN" TargetMode="External"/><Relationship Id="rId162" Type="http://schemas.openxmlformats.org/officeDocument/2006/relationships/hyperlink" Target="https://eur-lex.europa.eu/legal-content/HR/TXT/HTML/?uri=CELEX:52018XC0409(01)&amp;from=EN" TargetMode="External"/><Relationship Id="rId183" Type="http://schemas.openxmlformats.org/officeDocument/2006/relationships/hyperlink" Target="https://eur-lex.europa.eu/legal-content/HR/TXT/HTML/?uri=CELEX:52018XC0409(01)&amp;from=EN" TargetMode="External"/><Relationship Id="rId213" Type="http://schemas.openxmlformats.org/officeDocument/2006/relationships/hyperlink" Target="https://eur-lex.europa.eu/legal-content/HR/TXT/HTML/?uri=CELEX:52018XC0409(01)&amp;from=EN" TargetMode="External"/><Relationship Id="rId218" Type="http://schemas.openxmlformats.org/officeDocument/2006/relationships/hyperlink" Target="https://eur-lex.europa.eu/legal-content/HR/TXT/HTML/?uri=CELEX:52018XC0409(01)&amp;from=EN" TargetMode="External"/><Relationship Id="rId234" Type="http://schemas.openxmlformats.org/officeDocument/2006/relationships/hyperlink" Target="https://eur-lex.europa.eu/legal-content/HR/TXT/HTML/?uri=CELEX:52018XC0409(01)&amp;from=EN" TargetMode="External"/><Relationship Id="rId239" Type="http://schemas.openxmlformats.org/officeDocument/2006/relationships/hyperlink" Target="https://eur-lex.europa.eu/legal-content/HR/TXT/HTML/?uri=CELEX:52018XC0409(01)&amp;from=EN" TargetMode="External"/><Relationship Id="rId2" Type="http://schemas.openxmlformats.org/officeDocument/2006/relationships/settings" Target="settings.xml"/><Relationship Id="rId29" Type="http://schemas.openxmlformats.org/officeDocument/2006/relationships/image" Target="media/image3.jpeg"/><Relationship Id="rId250" Type="http://schemas.openxmlformats.org/officeDocument/2006/relationships/hyperlink" Target="https://eur-lex.europa.eu/legal-content/HR/TXT/HTML/?uri=CELEX:52018XC0409(01)&amp;from=EN" TargetMode="External"/><Relationship Id="rId255" Type="http://schemas.openxmlformats.org/officeDocument/2006/relationships/hyperlink" Target="https://eur-lex.europa.eu/legal-content/HR/TXT/HTML/?uri=CELEX:52018XC0409(01)&amp;from=EN" TargetMode="External"/><Relationship Id="rId271" Type="http://schemas.openxmlformats.org/officeDocument/2006/relationships/image" Target="media/image24.jpeg"/><Relationship Id="rId276" Type="http://schemas.openxmlformats.org/officeDocument/2006/relationships/hyperlink" Target="https://eur-lex.europa.eu/legal-content/HR/TXT/HTML/?uri=CELEX:52018XC0409(01)&amp;from=EN" TargetMode="External"/><Relationship Id="rId24" Type="http://schemas.openxmlformats.org/officeDocument/2006/relationships/hyperlink" Target="https://eur-lex.europa.eu/legal-content/HR/TXT/HTML/?uri=CELEX:52018XC0409(01)&amp;from=EN" TargetMode="External"/><Relationship Id="rId40" Type="http://schemas.openxmlformats.org/officeDocument/2006/relationships/hyperlink" Target="https://eur-lex.europa.eu/legal-content/HR/TXT/HTML/?uri=CELEX:52018XC0409(01)&amp;from=EN" TargetMode="External"/><Relationship Id="rId45" Type="http://schemas.openxmlformats.org/officeDocument/2006/relationships/hyperlink" Target="https://eur-lex.europa.eu/legal-content/HR/AUTO/?uri=OJ:L:2014:365:TOC" TargetMode="External"/><Relationship Id="rId66" Type="http://schemas.openxmlformats.org/officeDocument/2006/relationships/hyperlink" Target="https://eur-lex.europa.eu/legal-content/HR/TXT/HTML/?uri=CELEX:52018XC0409(01)&amp;from=EN" TargetMode="External"/><Relationship Id="rId87" Type="http://schemas.openxmlformats.org/officeDocument/2006/relationships/hyperlink" Target="https://eur-lex.europa.eu/legal-content/HR/TXT/HTML/?uri=CELEX:52018XC0409(01)&amp;from=EN" TargetMode="External"/><Relationship Id="rId110" Type="http://schemas.openxmlformats.org/officeDocument/2006/relationships/hyperlink" Target="https://eur-lex.europa.eu/legal-content/HR/TXT/HTML/?uri=CELEX:52018XC0409(01)&amp;from=EN" TargetMode="External"/><Relationship Id="rId115" Type="http://schemas.openxmlformats.org/officeDocument/2006/relationships/hyperlink" Target="https://eur-lex.europa.eu/legal-content/HR/TXT/HTML/?uri=CELEX:52018XC0409(01)&amp;from=EN" TargetMode="External"/><Relationship Id="rId131" Type="http://schemas.openxmlformats.org/officeDocument/2006/relationships/hyperlink" Target="https://eur-lex.europa.eu/legal-content/HR/TXT/HTML/?uri=CELEX:52018XC0409(01)&amp;from=EN" TargetMode="External"/><Relationship Id="rId136" Type="http://schemas.openxmlformats.org/officeDocument/2006/relationships/hyperlink" Target="https://eur-lex.europa.eu/legal-content/HR/TXT/HTML/?uri=CELEX:52018XC0409(01)&amp;from=EN" TargetMode="External"/><Relationship Id="rId157" Type="http://schemas.openxmlformats.org/officeDocument/2006/relationships/hyperlink" Target="https://eur-lex.europa.eu/legal-content/HR/TXT/HTML/?uri=CELEX:52018XC0409(01)&amp;from=EN" TargetMode="External"/><Relationship Id="rId178" Type="http://schemas.openxmlformats.org/officeDocument/2006/relationships/hyperlink" Target="https://eur-lex.europa.eu/legal-content/HR/TXT/HTML/?uri=CELEX:52018XC0409(01)&amp;from=EN" TargetMode="External"/><Relationship Id="rId61" Type="http://schemas.openxmlformats.org/officeDocument/2006/relationships/hyperlink" Target="https://eur-lex.europa.eu/legal-content/HR/AUTO/?uri=OJ:L:2008:353:TOC" TargetMode="External"/><Relationship Id="rId82" Type="http://schemas.openxmlformats.org/officeDocument/2006/relationships/hyperlink" Target="https://eur-lex.europa.eu/legal-content/HR/TXT/HTML/?uri=CELEX:52018XC0409(01)&amp;from=EN" TargetMode="External"/><Relationship Id="rId152" Type="http://schemas.openxmlformats.org/officeDocument/2006/relationships/hyperlink" Target="https://eur-lex.europa.eu/legal-content/HR/TXT/HTML/?uri=CELEX:52018XC0409(01)&amp;from=EN" TargetMode="External"/><Relationship Id="rId173" Type="http://schemas.openxmlformats.org/officeDocument/2006/relationships/hyperlink" Target="https://eur-lex.europa.eu/legal-content/HR/TXT/HTML/?uri=CELEX:52018XC0409(01)&amp;from=EN" TargetMode="External"/><Relationship Id="rId194" Type="http://schemas.openxmlformats.org/officeDocument/2006/relationships/hyperlink" Target="https://eur-lex.europa.eu/legal-content/HR/TXT/HTML/?uri=CELEX:52018XC0409(01)&amp;from=EN" TargetMode="External"/><Relationship Id="rId199" Type="http://schemas.openxmlformats.org/officeDocument/2006/relationships/hyperlink" Target="https://eur-lex.europa.eu/legal-content/HR/TXT/HTML/?uri=CELEX:52018XC0409(01)&amp;from=EN" TargetMode="External"/><Relationship Id="rId203" Type="http://schemas.openxmlformats.org/officeDocument/2006/relationships/hyperlink" Target="https://eur-lex.europa.eu/legal-content/HR/TXT/HTML/?uri=CELEX:52018XC0409(01)&amp;from=EN" TargetMode="External"/><Relationship Id="rId208" Type="http://schemas.openxmlformats.org/officeDocument/2006/relationships/hyperlink" Target="https://eur-lex.europa.eu/legal-content/HR/TXT/HTML/?uri=CELEX:52018XC0409(01)&amp;from=EN" TargetMode="External"/><Relationship Id="rId229" Type="http://schemas.openxmlformats.org/officeDocument/2006/relationships/hyperlink" Target="https://eur-lex.europa.eu/legal-content/HR/TXT/HTML/?uri=CELEX:52018XC0409(01)&amp;from=EN" TargetMode="External"/><Relationship Id="rId19" Type="http://schemas.openxmlformats.org/officeDocument/2006/relationships/hyperlink" Target="https://eur-lex.europa.eu/legal-content/HR/TXT/HTML/?uri=CELEX:52018XC0409(01)&amp;from=EN" TargetMode="External"/><Relationship Id="rId224" Type="http://schemas.openxmlformats.org/officeDocument/2006/relationships/hyperlink" Target="https://eur-lex.europa.eu/legal-content/HR/TXT/HTML/?uri=CELEX:52018XC0409(01)&amp;from=EN" TargetMode="External"/><Relationship Id="rId240" Type="http://schemas.openxmlformats.org/officeDocument/2006/relationships/hyperlink" Target="https://eur-lex.europa.eu/legal-content/HR/TXT/HTML/?uri=CELEX:52018XC0409(01)&amp;from=EN" TargetMode="External"/><Relationship Id="rId245" Type="http://schemas.openxmlformats.org/officeDocument/2006/relationships/hyperlink" Target="https://eur-lex.europa.eu/legal-content/HR/TXT/HTML/?uri=CELEX:52018XC0409(01)&amp;from=EN" TargetMode="External"/><Relationship Id="rId261" Type="http://schemas.openxmlformats.org/officeDocument/2006/relationships/hyperlink" Target="https://eur-lex.europa.eu/legal-content/HR/TXT/HTML/?uri=CELEX:52018XC0409(01)&amp;from=EN" TargetMode="External"/><Relationship Id="rId266" Type="http://schemas.openxmlformats.org/officeDocument/2006/relationships/hyperlink" Target="https://eur-lex.europa.eu/legal-content/HR/TXT/HTML/?uri=CELEX:52018XC0409(01)&amp;from=EN" TargetMode="External"/><Relationship Id="rId14" Type="http://schemas.openxmlformats.org/officeDocument/2006/relationships/hyperlink" Target="https://eur-lex.europa.eu/legal-content/HR/TXT/HTML/?uri=CELEX:52018XC0409(01)&amp;from=EN" TargetMode="External"/><Relationship Id="rId30" Type="http://schemas.openxmlformats.org/officeDocument/2006/relationships/hyperlink" Target="https://eur-lex.europa.eu/legal-content/HR/TXT/HTML/?uri=CELEX:52018XC0409(01)&amp;from=EN" TargetMode="External"/><Relationship Id="rId35" Type="http://schemas.openxmlformats.org/officeDocument/2006/relationships/hyperlink" Target="https://eur-lex.europa.eu/legal-content/HR/TXT/HTML/?uri=CELEX:52018XC0409(01)&amp;from=EN" TargetMode="External"/><Relationship Id="rId56" Type="http://schemas.openxmlformats.org/officeDocument/2006/relationships/hyperlink" Target="https://eur-lex.europa.eu/legal-content/HR/TXT/HTML/?uri=CELEX:52018XC0409(01)&amp;from=EN" TargetMode="External"/><Relationship Id="rId77" Type="http://schemas.openxmlformats.org/officeDocument/2006/relationships/hyperlink" Target="https://eur-lex.europa.eu/legal-content/HR/TXT/HTML/?uri=CELEX:52018XC0409(01)&amp;from=EN" TargetMode="External"/><Relationship Id="rId100" Type="http://schemas.openxmlformats.org/officeDocument/2006/relationships/hyperlink" Target="https://eur-lex.europa.eu/legal-content/HR/TXT/HTML/?uri=CELEX:52018XC0409(01)&amp;from=EN" TargetMode="External"/><Relationship Id="rId105" Type="http://schemas.openxmlformats.org/officeDocument/2006/relationships/hyperlink" Target="https://eur-lex.europa.eu/legal-content/HR/TXT/HTML/?uri=CELEX:52018XC0409(01)&amp;from=EN" TargetMode="External"/><Relationship Id="rId126" Type="http://schemas.openxmlformats.org/officeDocument/2006/relationships/hyperlink" Target="https://eur-lex.europa.eu/legal-content/HR/TXT/HTML/?uri=CELEX:52018XC0409(01)&amp;from=EN" TargetMode="External"/><Relationship Id="rId147" Type="http://schemas.openxmlformats.org/officeDocument/2006/relationships/hyperlink" Target="https://eur-lex.europa.eu/legal-content/HR/TXT/HTML/?uri=CELEX:52018XC0409(01)&amp;from=EN" TargetMode="External"/><Relationship Id="rId168" Type="http://schemas.openxmlformats.org/officeDocument/2006/relationships/hyperlink" Target="https://eur-lex.europa.eu/legal-content/HR/TXT/HTML/?uri=CELEX:52018XC0409(01)&amp;from=EN" TargetMode="External"/><Relationship Id="rId282" Type="http://schemas.openxmlformats.org/officeDocument/2006/relationships/theme" Target="theme/theme1.xml"/><Relationship Id="rId8" Type="http://schemas.openxmlformats.org/officeDocument/2006/relationships/hyperlink" Target="https://eur-lex.europa.eu/legal-content/HR/TXT/HTML/?uri=CELEX:52018XC0409(01)&amp;from=EN" TargetMode="External"/><Relationship Id="rId51" Type="http://schemas.openxmlformats.org/officeDocument/2006/relationships/hyperlink" Target="https://eur-lex.europa.eu/legal-content/HR/AUTO/?uri=OJ:L:2014:370:TOC" TargetMode="External"/><Relationship Id="rId72" Type="http://schemas.openxmlformats.org/officeDocument/2006/relationships/image" Target="media/image4.jpeg"/><Relationship Id="rId93" Type="http://schemas.openxmlformats.org/officeDocument/2006/relationships/hyperlink" Target="https://eur-lex.europa.eu/legal-content/HR/TXT/HTML/?uri=CELEX:52018XC0409(01)&amp;from=EN" TargetMode="External"/><Relationship Id="rId98" Type="http://schemas.openxmlformats.org/officeDocument/2006/relationships/hyperlink" Target="https://eur-lex.europa.eu/legal-content/HR/TXT/HTML/?uri=CELEX:52018XC0409(01)&amp;from=EN" TargetMode="External"/><Relationship Id="rId121" Type="http://schemas.openxmlformats.org/officeDocument/2006/relationships/hyperlink" Target="https://eur-lex.europa.eu/legal-content/HR/TXT/HTML/?uri=CELEX:52018XC0409(01)&amp;from=EN" TargetMode="External"/><Relationship Id="rId142" Type="http://schemas.openxmlformats.org/officeDocument/2006/relationships/hyperlink" Target="https://eur-lex.europa.eu/legal-content/HR/TXT/HTML/?uri=CELEX:52018XC0409(01)&amp;from=EN" TargetMode="External"/><Relationship Id="rId163" Type="http://schemas.openxmlformats.org/officeDocument/2006/relationships/hyperlink" Target="https://eur-lex.europa.eu/legal-content/HR/TXT/HTML/?uri=CELEX:52018XC0409(01)&amp;from=EN" TargetMode="External"/><Relationship Id="rId184" Type="http://schemas.openxmlformats.org/officeDocument/2006/relationships/hyperlink" Target="https://eur-lex.europa.eu/legal-content/HR/TXT/HTML/?uri=CELEX:52018XC0409(01)&amp;from=EN" TargetMode="External"/><Relationship Id="rId189" Type="http://schemas.openxmlformats.org/officeDocument/2006/relationships/image" Target="media/image16.jpeg"/><Relationship Id="rId219" Type="http://schemas.openxmlformats.org/officeDocument/2006/relationships/hyperlink" Target="https://eur-lex.europa.eu/legal-content/HR/TXT/HTML/?uri=CELEX:52018XC0409(01)&amp;from=EN" TargetMode="External"/><Relationship Id="rId3" Type="http://schemas.openxmlformats.org/officeDocument/2006/relationships/webSettings" Target="webSettings.xml"/><Relationship Id="rId214" Type="http://schemas.openxmlformats.org/officeDocument/2006/relationships/hyperlink" Target="https://eur-lex.europa.eu/legal-content/HR/TXT/HTML/?uri=CELEX:52018XC0409(01)&amp;from=EN" TargetMode="External"/><Relationship Id="rId230" Type="http://schemas.openxmlformats.org/officeDocument/2006/relationships/hyperlink" Target="https://eur-lex.europa.eu/legal-content/HR/TXT/HTML/?uri=CELEX:52018XC0409(01)&amp;from=EN" TargetMode="External"/><Relationship Id="rId235" Type="http://schemas.openxmlformats.org/officeDocument/2006/relationships/hyperlink" Target="https://eur-lex.europa.eu/legal-content/HR/TXT/HTML/?uri=CELEX:52018XC0409(01)&amp;from=EN" TargetMode="External"/><Relationship Id="rId251" Type="http://schemas.openxmlformats.org/officeDocument/2006/relationships/hyperlink" Target="https://eur-lex.europa.eu/legal-content/HR/TXT/HTML/?uri=CELEX:52018XC0409(01)&amp;from=EN" TargetMode="External"/><Relationship Id="rId256" Type="http://schemas.openxmlformats.org/officeDocument/2006/relationships/hyperlink" Target="https://eur-lex.europa.eu/legal-content/HR/TXT/HTML/?uri=CELEX:52018XC0409(01)&amp;from=EN" TargetMode="External"/><Relationship Id="rId277" Type="http://schemas.openxmlformats.org/officeDocument/2006/relationships/hyperlink" Target="https://eur-lex.europa.eu/legal-content/HR/TXT/HTML/?uri=CELEX:52018XC0409(01)&amp;from=EN" TargetMode="External"/><Relationship Id="rId25" Type="http://schemas.openxmlformats.org/officeDocument/2006/relationships/hyperlink" Target="https://eur-lex.europa.eu/legal-content/HR/TXT/HTML/?uri=CELEX:52018XC0409(01)&amp;from=EN" TargetMode="External"/><Relationship Id="rId46" Type="http://schemas.openxmlformats.org/officeDocument/2006/relationships/hyperlink" Target="https://eur-lex.europa.eu/legal-content/HR/TXT/HTML/?uri=CELEX:52018XC0409(01)&amp;from=EN" TargetMode="External"/><Relationship Id="rId67" Type="http://schemas.openxmlformats.org/officeDocument/2006/relationships/hyperlink" Target="https://eur-lex.europa.eu/legal-content/HR/AUTO/?uri=OJ:L:2012:197:TOC" TargetMode="External"/><Relationship Id="rId116" Type="http://schemas.openxmlformats.org/officeDocument/2006/relationships/hyperlink" Target="https://eur-lex.europa.eu/legal-content/HR/TXT/HTML/?uri=CELEX:52018XC0409(01)&amp;from=EN" TargetMode="External"/><Relationship Id="rId137" Type="http://schemas.openxmlformats.org/officeDocument/2006/relationships/hyperlink" Target="https://eur-lex.europa.eu/legal-content/HR/AUTO/?uri=OJ:L:1999:200:TOC" TargetMode="External"/><Relationship Id="rId158" Type="http://schemas.openxmlformats.org/officeDocument/2006/relationships/image" Target="media/image9.jpeg"/><Relationship Id="rId272" Type="http://schemas.openxmlformats.org/officeDocument/2006/relationships/image" Target="media/image25.jpeg"/><Relationship Id="rId20" Type="http://schemas.openxmlformats.org/officeDocument/2006/relationships/hyperlink" Target="https://eur-lex.europa.eu/legal-content/HR/TXT/HTML/?uri=CELEX:52018XC0409(01)&amp;from=EN" TargetMode="External"/><Relationship Id="rId41" Type="http://schemas.openxmlformats.org/officeDocument/2006/relationships/hyperlink" Target="https://eur-lex.europa.eu/legal-content/HR/AUTO/?uri=OJ:L:1999:182:TOC" TargetMode="External"/><Relationship Id="rId62" Type="http://schemas.openxmlformats.org/officeDocument/2006/relationships/hyperlink" Target="https://eur-lex.europa.eu/legal-content/HR/TXT/HTML/?uri=CELEX:52018XC0409(01)&amp;from=EN" TargetMode="External"/><Relationship Id="rId83" Type="http://schemas.openxmlformats.org/officeDocument/2006/relationships/image" Target="media/image6.jpeg"/><Relationship Id="rId88" Type="http://schemas.openxmlformats.org/officeDocument/2006/relationships/hyperlink" Target="https://eur-lex.europa.eu/legal-content/HR/TXT/HTML/?uri=CELEX:52018XC0409(01)&amp;from=EN" TargetMode="External"/><Relationship Id="rId111" Type="http://schemas.openxmlformats.org/officeDocument/2006/relationships/hyperlink" Target="https://eur-lex.europa.eu/legal-content/HR/TXT/HTML/?uri=CELEX:52018XC0409(01)&amp;from=EN" TargetMode="External"/><Relationship Id="rId132" Type="http://schemas.openxmlformats.org/officeDocument/2006/relationships/hyperlink" Target="https://eur-lex.europa.eu/legal-content/HR/AUTO/?uri=OJ:L:2009:286:TOC" TargetMode="External"/><Relationship Id="rId153" Type="http://schemas.openxmlformats.org/officeDocument/2006/relationships/hyperlink" Target="https://eur-lex.europa.eu/legal-content/HR/TXT/HTML/?uri=CELEX:52018XC0409(01)&amp;from=EN" TargetMode="External"/><Relationship Id="rId174" Type="http://schemas.openxmlformats.org/officeDocument/2006/relationships/hyperlink" Target="https://eur-lex.europa.eu/legal-content/HR/TXT/HTML/?uri=CELEX:52018XC0409(01)&amp;from=EN" TargetMode="External"/><Relationship Id="rId179" Type="http://schemas.openxmlformats.org/officeDocument/2006/relationships/hyperlink" Target="https://eur-lex.europa.eu/legal-content/HR/TXT/HTML/?uri=CELEX:52018XC0409(01)&amp;from=EN" TargetMode="External"/><Relationship Id="rId195" Type="http://schemas.openxmlformats.org/officeDocument/2006/relationships/hyperlink" Target="https://eur-lex.europa.eu/legal-content/HR/TXT/HTML/?uri=CELEX:52018XC0409(01)&amp;from=EN" TargetMode="External"/><Relationship Id="rId209" Type="http://schemas.openxmlformats.org/officeDocument/2006/relationships/hyperlink" Target="https://eur-lex.europa.eu/legal-content/HR/TXT/HTML/?uri=CELEX:52018XC0409(01)&amp;from=EN" TargetMode="External"/><Relationship Id="rId190" Type="http://schemas.openxmlformats.org/officeDocument/2006/relationships/hyperlink" Target="https://eur-lex.europa.eu/legal-content/HR/TXT/HTML/?uri=CELEX:52018XC0409(01)&amp;from=EN" TargetMode="External"/><Relationship Id="rId204" Type="http://schemas.openxmlformats.org/officeDocument/2006/relationships/hyperlink" Target="https://eur-lex.europa.eu/legal-content/HR/TXT/HTML/?uri=CELEX:52018XC0409(01)&amp;from=EN" TargetMode="External"/><Relationship Id="rId220" Type="http://schemas.openxmlformats.org/officeDocument/2006/relationships/image" Target="media/image22.jpeg"/><Relationship Id="rId225" Type="http://schemas.openxmlformats.org/officeDocument/2006/relationships/hyperlink" Target="https://eur-lex.europa.eu/legal-content/HR/TXT/HTML/?uri=CELEX:52018XC0409(01)&amp;from=EN" TargetMode="External"/><Relationship Id="rId241" Type="http://schemas.openxmlformats.org/officeDocument/2006/relationships/hyperlink" Target="https://eur-lex.europa.eu/legal-content/HR/TXT/HTML/?uri=CELEX:52018XC0409(01)&amp;from=EN" TargetMode="External"/><Relationship Id="rId246" Type="http://schemas.openxmlformats.org/officeDocument/2006/relationships/hyperlink" Target="https://eur-lex.europa.eu/legal-content/HR/TXT/HTML/?uri=CELEX:52018XC0409(01)&amp;from=EN" TargetMode="External"/><Relationship Id="rId267" Type="http://schemas.openxmlformats.org/officeDocument/2006/relationships/hyperlink" Target="https://eur-lex.europa.eu/legal-content/HR/AUTO/?uri=OJ:L:2017:150:TOC" TargetMode="External"/><Relationship Id="rId15" Type="http://schemas.openxmlformats.org/officeDocument/2006/relationships/hyperlink" Target="https://eur-lex.europa.eu/legal-content/HR/TXT/HTML/?uri=CELEX:52018XC0409(01)&amp;from=EN" TargetMode="External"/><Relationship Id="rId36" Type="http://schemas.openxmlformats.org/officeDocument/2006/relationships/hyperlink" Target="https://eur-lex.europa.eu/legal-content/HR/AUTO/?uri=OJ:L:2008:312:TOC" TargetMode="External"/><Relationship Id="rId57" Type="http://schemas.openxmlformats.org/officeDocument/2006/relationships/hyperlink" Target="https://eur-lex.europa.eu/legal-content/HR/AUTO/?uri=OJ:L:2006:102:TOC" TargetMode="External"/><Relationship Id="rId106" Type="http://schemas.openxmlformats.org/officeDocument/2006/relationships/hyperlink" Target="https://eur-lex.europa.eu/legal-content/HR/TXT/HTML/?uri=CELEX:52018XC0409(01)&amp;from=EN" TargetMode="External"/><Relationship Id="rId127" Type="http://schemas.openxmlformats.org/officeDocument/2006/relationships/hyperlink" Target="https://eur-lex.europa.eu/legal-content/HR/TXT/HTML/?uri=CELEX:52018XC0409(01)&amp;from=EN" TargetMode="External"/><Relationship Id="rId262" Type="http://schemas.openxmlformats.org/officeDocument/2006/relationships/hyperlink" Target="https://eur-lex.europa.eu/legal-content/HR/TXT/HTML/?uri=CELEX:52018XC0409(01)&amp;from=EN" TargetMode="External"/><Relationship Id="rId10" Type="http://schemas.openxmlformats.org/officeDocument/2006/relationships/hyperlink" Target="https://eur-lex.europa.eu/legal-content/HR/TXT/HTML/?uri=CELEX:52018XC0409(01)&amp;from=EN" TargetMode="External"/><Relationship Id="rId31" Type="http://schemas.openxmlformats.org/officeDocument/2006/relationships/hyperlink" Target="https://eur-lex.europa.eu/legal-content/HR/AUTO/?uri=OJ:L:2008:312:TOC" TargetMode="External"/><Relationship Id="rId52" Type="http://schemas.openxmlformats.org/officeDocument/2006/relationships/hyperlink" Target="https://eur-lex.europa.eu/legal-content/HR/TXT/HTML/?uri=CELEX:52018XC0409(01)&amp;from=EN" TargetMode="External"/><Relationship Id="rId73" Type="http://schemas.openxmlformats.org/officeDocument/2006/relationships/hyperlink" Target="https://eur-lex.europa.eu/legal-content/HR/TXT/HTML/?uri=CELEX:52018XC0409(01)&amp;from=EN" TargetMode="External"/><Relationship Id="rId78" Type="http://schemas.openxmlformats.org/officeDocument/2006/relationships/hyperlink" Target="https://eur-lex.europa.eu/legal-content/HR/TXT/HTML/?uri=CELEX:52018XC0409(01)&amp;from=EN" TargetMode="External"/><Relationship Id="rId94" Type="http://schemas.openxmlformats.org/officeDocument/2006/relationships/hyperlink" Target="https://eur-lex.europa.eu/legal-content/HR/TXT/HTML/?uri=CELEX:52018XC0409(01)&amp;from=EN" TargetMode="External"/><Relationship Id="rId99" Type="http://schemas.openxmlformats.org/officeDocument/2006/relationships/hyperlink" Target="https://eur-lex.europa.eu/legal-content/HR/TXT/HTML/?uri=CELEX:52018XC0409(01)&amp;from=EN" TargetMode="External"/><Relationship Id="rId101" Type="http://schemas.openxmlformats.org/officeDocument/2006/relationships/hyperlink" Target="https://eur-lex.europa.eu/legal-content/HR/TXT/HTML/?uri=CELEX:52018XC0409(01)&amp;from=EN" TargetMode="External"/><Relationship Id="rId122" Type="http://schemas.openxmlformats.org/officeDocument/2006/relationships/hyperlink" Target="https://eur-lex.europa.eu/legal-content/HR/TXT/HTML/?uri=CELEX:52018XC0409(01)&amp;from=EN" TargetMode="External"/><Relationship Id="rId143" Type="http://schemas.openxmlformats.org/officeDocument/2006/relationships/hyperlink" Target="https://eur-lex.europa.eu/legal-content/HR/TXT/HTML/?uri=CELEX:52018XC0409(01)&amp;from=EN" TargetMode="External"/><Relationship Id="rId148" Type="http://schemas.openxmlformats.org/officeDocument/2006/relationships/hyperlink" Target="https://eur-lex.europa.eu/legal-content/HR/TXT/HTML/?uri=CELEX:52018XC0409(01)&amp;from=EN" TargetMode="External"/><Relationship Id="rId164" Type="http://schemas.openxmlformats.org/officeDocument/2006/relationships/image" Target="media/image10.jpeg"/><Relationship Id="rId169" Type="http://schemas.openxmlformats.org/officeDocument/2006/relationships/image" Target="media/image12.jpeg"/><Relationship Id="rId185" Type="http://schemas.openxmlformats.org/officeDocument/2006/relationships/image" Target="media/image15.jpeg"/><Relationship Id="rId4" Type="http://schemas.openxmlformats.org/officeDocument/2006/relationships/hyperlink" Target="https://eur-lex.europa.eu/legal-content/HR/TXT/HTML/?uri=CELEX:52018XC0409(01)&amp;from=EN" TargetMode="External"/><Relationship Id="rId9" Type="http://schemas.openxmlformats.org/officeDocument/2006/relationships/image" Target="media/image1.jpeg"/><Relationship Id="rId180" Type="http://schemas.openxmlformats.org/officeDocument/2006/relationships/hyperlink" Target="https://eur-lex.europa.eu/legal-content/HR/TXT/HTML/?uri=CELEX:52018XC0409(01)&amp;from=EN" TargetMode="External"/><Relationship Id="rId210" Type="http://schemas.openxmlformats.org/officeDocument/2006/relationships/hyperlink" Target="https://eur-lex.europa.eu/legal-content/HR/TXT/HTML/?uri=CELEX:52018XC0409(01)&amp;from=EN" TargetMode="External"/><Relationship Id="rId215" Type="http://schemas.openxmlformats.org/officeDocument/2006/relationships/image" Target="media/image21.jpeg"/><Relationship Id="rId236" Type="http://schemas.openxmlformats.org/officeDocument/2006/relationships/hyperlink" Target="https://eur-lex.europa.eu/legal-content/HR/TXT/HTML/?uri=CELEX:52018XC0409(01)&amp;from=EN" TargetMode="External"/><Relationship Id="rId257" Type="http://schemas.openxmlformats.org/officeDocument/2006/relationships/hyperlink" Target="https://eur-lex.europa.eu/legal-content/HR/TXT/HTML/?uri=CELEX:52018XC0409(01)&amp;from=EN" TargetMode="External"/><Relationship Id="rId278" Type="http://schemas.openxmlformats.org/officeDocument/2006/relationships/hyperlink" Target="https://eur-lex.europa.eu/legal-content/HR/TXT/HTML/?uri=CELEX:52018XC0409(01)&amp;from=EN" TargetMode="External"/><Relationship Id="rId26" Type="http://schemas.openxmlformats.org/officeDocument/2006/relationships/image" Target="media/image2.jpeg"/><Relationship Id="rId231" Type="http://schemas.openxmlformats.org/officeDocument/2006/relationships/hyperlink" Target="https://eur-lex.europa.eu/legal-content/HR/TXT/HTML/?uri=CELEX:52018XC0409(01)&amp;from=EN" TargetMode="External"/><Relationship Id="rId252" Type="http://schemas.openxmlformats.org/officeDocument/2006/relationships/hyperlink" Target="https://eur-lex.europa.eu/legal-content/HR/TXT/HTML/?uri=CELEX:52018XC0409(01)&amp;from=EN" TargetMode="External"/><Relationship Id="rId273" Type="http://schemas.openxmlformats.org/officeDocument/2006/relationships/hyperlink" Target="https://eur-lex.europa.eu/legal-content/HR/TXT/HTML/?uri=CELEX:52018XC0409(01)&amp;from=EN" TargetMode="External"/><Relationship Id="rId47" Type="http://schemas.openxmlformats.org/officeDocument/2006/relationships/hyperlink" Target="https://eur-lex.europa.eu/legal-content/HR/AUTO/?uri=OJ:L:2017:150:TOC" TargetMode="External"/><Relationship Id="rId68" Type="http://schemas.openxmlformats.org/officeDocument/2006/relationships/hyperlink" Target="https://eur-lex.europa.eu/legal-content/HR/TXT/HTML/?uri=CELEX:52018XC0409(01)&amp;from=EN" TargetMode="External"/><Relationship Id="rId89" Type="http://schemas.openxmlformats.org/officeDocument/2006/relationships/hyperlink" Target="https://eur-lex.europa.eu/legal-content/HR/TXT/HTML/?uri=CELEX:52018XC0409(01)&amp;from=EN" TargetMode="External"/><Relationship Id="rId112" Type="http://schemas.openxmlformats.org/officeDocument/2006/relationships/hyperlink" Target="https://eur-lex.europa.eu/legal-content/HR/TXT/HTML/?uri=CELEX:52018XC0409(01)&amp;from=EN" TargetMode="External"/><Relationship Id="rId133" Type="http://schemas.openxmlformats.org/officeDocument/2006/relationships/hyperlink" Target="https://eur-lex.europa.eu/legal-content/HR/TXT/HTML/?uri=CELEX:52018XC0409(01)&amp;from=EN" TargetMode="External"/><Relationship Id="rId154" Type="http://schemas.openxmlformats.org/officeDocument/2006/relationships/hyperlink" Target="https://eur-lex.europa.eu/legal-content/HR/TXT/HTML/?uri=CELEX:52018XC0409(01)&amp;from=EN" TargetMode="External"/><Relationship Id="rId175" Type="http://schemas.openxmlformats.org/officeDocument/2006/relationships/hyperlink" Target="https://eur-lex.europa.eu/legal-content/HR/TXT/HTML/?uri=CELEX:52018XC0409(01)&amp;from=EN" TargetMode="External"/><Relationship Id="rId196" Type="http://schemas.openxmlformats.org/officeDocument/2006/relationships/hyperlink" Target="https://eur-lex.europa.eu/legal-content/HR/TXT/HTML/?uri=CELEX:52018XC0409(01)&amp;from=EN" TargetMode="External"/><Relationship Id="rId200" Type="http://schemas.openxmlformats.org/officeDocument/2006/relationships/hyperlink" Target="https://eur-lex.europa.eu/legal-content/HR/TXT/HTML/?uri=CELEX:52018XC0409(01)&amp;from=EN" TargetMode="External"/><Relationship Id="rId16" Type="http://schemas.openxmlformats.org/officeDocument/2006/relationships/hyperlink" Target="https://eur-lex.europa.eu/legal-content/HR/TXT/HTML/?uri=CELEX:52018XC0409(01)&amp;from=EN" TargetMode="External"/><Relationship Id="rId221" Type="http://schemas.openxmlformats.org/officeDocument/2006/relationships/hyperlink" Target="https://eur-lex.europa.eu/legal-content/HR/TXT/HTML/?uri=CELEX:52018XC0409(01)&amp;from=EN" TargetMode="External"/><Relationship Id="rId242" Type="http://schemas.openxmlformats.org/officeDocument/2006/relationships/hyperlink" Target="https://eur-lex.europa.eu/legal-content/HR/TXT/HTML/?uri=CELEX:52018XC0409(01)&amp;from=EN" TargetMode="External"/><Relationship Id="rId263" Type="http://schemas.openxmlformats.org/officeDocument/2006/relationships/hyperlink" Target="https://eur-lex.europa.eu/legal-content/HR/TXT/HTML/?uri=CELEX:52018XC0409(01)&amp;from=EN" TargetMode="External"/><Relationship Id="rId37" Type="http://schemas.openxmlformats.org/officeDocument/2006/relationships/hyperlink" Target="https://eur-lex.europa.eu/legal-content/HR/TXT/HTML/?uri=CELEX:52018XC0409(01)&amp;from=EN" TargetMode="External"/><Relationship Id="rId58" Type="http://schemas.openxmlformats.org/officeDocument/2006/relationships/hyperlink" Target="https://eur-lex.europa.eu/legal-content/HR/TXT/HTML/?uri=CELEX:52018XC0409(01)&amp;from=EN" TargetMode="External"/><Relationship Id="rId79" Type="http://schemas.openxmlformats.org/officeDocument/2006/relationships/hyperlink" Target="https://eur-lex.europa.eu/legal-content/HR/TXT/HTML/?uri=CELEX:52018XC0409(01)&amp;from=EN" TargetMode="External"/><Relationship Id="rId102" Type="http://schemas.openxmlformats.org/officeDocument/2006/relationships/hyperlink" Target="https://eur-lex.europa.eu/legal-content/HR/TXT/HTML/?uri=CELEX:52018XC0409(01)&amp;from=EN" TargetMode="External"/><Relationship Id="rId123" Type="http://schemas.openxmlformats.org/officeDocument/2006/relationships/hyperlink" Target="https://eur-lex.europa.eu/legal-content/HR/TXT/HTML/?uri=CELEX:52018XC0409(01)&amp;from=EN" TargetMode="External"/><Relationship Id="rId144" Type="http://schemas.openxmlformats.org/officeDocument/2006/relationships/hyperlink" Target="https://eur-lex.europa.eu/legal-content/HR/TXT/HTML/?uri=CELEX:52018XC0409(01)&amp;from=EN" TargetMode="External"/><Relationship Id="rId90" Type="http://schemas.openxmlformats.org/officeDocument/2006/relationships/hyperlink" Target="https://eur-lex.europa.eu/legal-content/HR/TXT/HTML/?uri=CELEX:52018XC0409(01)&amp;from=EN" TargetMode="External"/><Relationship Id="rId165" Type="http://schemas.openxmlformats.org/officeDocument/2006/relationships/hyperlink" Target="https://eur-lex.europa.eu/legal-content/HR/TXT/HTML/?uri=CELEX:52018XC0409(01)&amp;from=EN" TargetMode="External"/><Relationship Id="rId186" Type="http://schemas.openxmlformats.org/officeDocument/2006/relationships/hyperlink" Target="https://eur-lex.europa.eu/legal-content/HR/TXT/HTML/?uri=CELEX:52018XC0409(01)&amp;from=EN" TargetMode="External"/><Relationship Id="rId211" Type="http://schemas.openxmlformats.org/officeDocument/2006/relationships/hyperlink" Target="https://eur-lex.europa.eu/legal-content/HR/TXT/HTML/?uri=CELEX:52018XC0409(01)&amp;from=EN" TargetMode="External"/><Relationship Id="rId232" Type="http://schemas.openxmlformats.org/officeDocument/2006/relationships/hyperlink" Target="https://eur-lex.europa.eu/legal-content/HR/TXT/HTML/?uri=CELEX:52018XC0409(01)&amp;from=EN" TargetMode="External"/><Relationship Id="rId253" Type="http://schemas.openxmlformats.org/officeDocument/2006/relationships/hyperlink" Target="https://eur-lex.europa.eu/legal-content/HR/TXT/HTML/?uri=CELEX:52018XC0409(01)&amp;from=EN" TargetMode="External"/><Relationship Id="rId274" Type="http://schemas.openxmlformats.org/officeDocument/2006/relationships/hyperlink" Target="https://eur-lex.europa.eu/legal-content/HR/TXT/HTML/?uri=CELEX:52018XC0409(01)&amp;from=EN" TargetMode="External"/><Relationship Id="rId27" Type="http://schemas.openxmlformats.org/officeDocument/2006/relationships/hyperlink" Target="https://eur-lex.europa.eu/legal-content/HR/TXT/HTML/?uri=CELEX:52018XC0409(01)&amp;from=EN" TargetMode="External"/><Relationship Id="rId48" Type="http://schemas.openxmlformats.org/officeDocument/2006/relationships/hyperlink" Target="https://eur-lex.europa.eu/legal-content/HR/TXT/HTML/?uri=CELEX:52018XC0409(01)&amp;from=EN" TargetMode="External"/><Relationship Id="rId69" Type="http://schemas.openxmlformats.org/officeDocument/2006/relationships/hyperlink" Target="https://eur-lex.europa.eu/legal-content/HR/AUTO/?uri=OJ:L:2012:197:TOC" TargetMode="External"/><Relationship Id="rId113" Type="http://schemas.openxmlformats.org/officeDocument/2006/relationships/hyperlink" Target="https://eur-lex.europa.eu/legal-content/HR/TXT/HTML/?uri=CELEX:52018XC0409(01)&amp;from=EN" TargetMode="External"/><Relationship Id="rId134" Type="http://schemas.openxmlformats.org/officeDocument/2006/relationships/hyperlink" Target="https://eur-lex.europa.eu/legal-content/HR/TXT/HTML/?uri=CELEX:52018XC0409(01)&amp;from=EN" TargetMode="External"/><Relationship Id="rId80" Type="http://schemas.openxmlformats.org/officeDocument/2006/relationships/image" Target="media/image5.jpeg"/><Relationship Id="rId155" Type="http://schemas.openxmlformats.org/officeDocument/2006/relationships/image" Target="media/image8.jpeg"/><Relationship Id="rId176" Type="http://schemas.openxmlformats.org/officeDocument/2006/relationships/image" Target="media/image13.jpeg"/><Relationship Id="rId197" Type="http://schemas.openxmlformats.org/officeDocument/2006/relationships/hyperlink" Target="https://eur-lex.europa.eu/legal-content/HR/TXT/HTML/?uri=CELEX:52018XC0409(01)&amp;from=EN" TargetMode="External"/><Relationship Id="rId201" Type="http://schemas.openxmlformats.org/officeDocument/2006/relationships/hyperlink" Target="https://eur-lex.europa.eu/legal-content/HR/TXT/HTML/?uri=CELEX:52018XC0409(01)&amp;from=EN" TargetMode="External"/><Relationship Id="rId222" Type="http://schemas.openxmlformats.org/officeDocument/2006/relationships/hyperlink" Target="https://eur-lex.europa.eu/legal-content/HR/TXT/HTML/?uri=CELEX:52018XC0409(01)&amp;from=EN" TargetMode="External"/><Relationship Id="rId243" Type="http://schemas.openxmlformats.org/officeDocument/2006/relationships/hyperlink" Target="https://eur-lex.europa.eu/legal-content/HR/TXT/HTML/?uri=CELEX:52018XC0409(01)&amp;from=EN" TargetMode="External"/><Relationship Id="rId264" Type="http://schemas.openxmlformats.org/officeDocument/2006/relationships/hyperlink" Target="https://eur-lex.europa.eu/legal-content/HR/TXT/HTML/?uri=CELEX:52018XC0409(01)&amp;from=EN" TargetMode="External"/><Relationship Id="rId17" Type="http://schemas.openxmlformats.org/officeDocument/2006/relationships/hyperlink" Target="https://eur-lex.europa.eu/legal-content/HR/TXT/HTML/?uri=CELEX:52018XC0409(01)&amp;from=EN" TargetMode="External"/><Relationship Id="rId38" Type="http://schemas.openxmlformats.org/officeDocument/2006/relationships/hyperlink" Target="https://eur-lex.europa.eu/legal-content/HR/AUTO/?uri=OJ:L:2000:226:TOC" TargetMode="External"/><Relationship Id="rId59" Type="http://schemas.openxmlformats.org/officeDocument/2006/relationships/hyperlink" Target="https://eur-lex.europa.eu/legal-content/HR/AUTO/?uri=OJ:L:2006:396:TOC" TargetMode="External"/><Relationship Id="rId103" Type="http://schemas.openxmlformats.org/officeDocument/2006/relationships/hyperlink" Target="https://eur-lex.europa.eu/legal-content/HR/TXT/HTML/?uri=CELEX:52018XC0409(01)&amp;from=EN" TargetMode="External"/><Relationship Id="rId124" Type="http://schemas.openxmlformats.org/officeDocument/2006/relationships/hyperlink" Target="https://eur-lex.europa.eu/legal-content/HR/TXT/HTML/?uri=CELEX:52018XC0409(01)&amp;from=EN" TargetMode="External"/><Relationship Id="rId70" Type="http://schemas.openxmlformats.org/officeDocument/2006/relationships/hyperlink" Target="https://eur-lex.europa.eu/legal-content/HR/TXT/HTML/?uri=CELEX:52018XC0409(01)&amp;from=EN" TargetMode="External"/><Relationship Id="rId91" Type="http://schemas.openxmlformats.org/officeDocument/2006/relationships/hyperlink" Target="https://eur-lex.europa.eu/legal-content/HR/TXT/HTML/?uri=CELEX:52018XC0409(01)&amp;from=EN" TargetMode="External"/><Relationship Id="rId145" Type="http://schemas.openxmlformats.org/officeDocument/2006/relationships/hyperlink" Target="https://eur-lex.europa.eu/legal-content/HR/TXT/HTML/?uri=CELEX:52018XC0409(01)&amp;from=EN" TargetMode="External"/><Relationship Id="rId166" Type="http://schemas.openxmlformats.org/officeDocument/2006/relationships/hyperlink" Target="https://eur-lex.europa.eu/legal-content/HR/TXT/HTML/?uri=CELEX:52018XC0409(01)&amp;from=EN" TargetMode="External"/><Relationship Id="rId187" Type="http://schemas.openxmlformats.org/officeDocument/2006/relationships/hyperlink" Target="https://eur-lex.europa.eu/legal-content/HR/TXT/HTML/?uri=CELEX:52018XC0409(01)&amp;from=EN" TargetMode="External"/><Relationship Id="rId1" Type="http://schemas.openxmlformats.org/officeDocument/2006/relationships/styles" Target="styles.xml"/><Relationship Id="rId212" Type="http://schemas.openxmlformats.org/officeDocument/2006/relationships/hyperlink" Target="https://eur-lex.europa.eu/legal-content/HR/TXT/HTML/?uri=CELEX:52018XC0409(01)&amp;from=EN" TargetMode="External"/><Relationship Id="rId233" Type="http://schemas.openxmlformats.org/officeDocument/2006/relationships/hyperlink" Target="https://eur-lex.europa.eu/legal-content/HR/TXT/HTML/?uri=CELEX:52018XC0409(01)&amp;from=EN" TargetMode="External"/><Relationship Id="rId254" Type="http://schemas.openxmlformats.org/officeDocument/2006/relationships/hyperlink" Target="https://eur-lex.europa.eu/legal-content/HR/TXT/HTML/?uri=CELEX:52018XC0409(01)&amp;from=EN" TargetMode="External"/><Relationship Id="rId28" Type="http://schemas.openxmlformats.org/officeDocument/2006/relationships/hyperlink" Target="https://eur-lex.europa.eu/legal-content/HR/TXT/HTML/?uri=CELEX:52018XC0409(01)&amp;from=EN" TargetMode="External"/><Relationship Id="rId49" Type="http://schemas.openxmlformats.org/officeDocument/2006/relationships/hyperlink" Target="https://eur-lex.europa.eu/legal-content/HR/AUTO/?uri=OJ:L:2000:226:TOC" TargetMode="External"/><Relationship Id="rId114" Type="http://schemas.openxmlformats.org/officeDocument/2006/relationships/hyperlink" Target="https://eur-lex.europa.eu/legal-content/HR/TXT/HTML/?uri=CELEX:52018XC0409(01)&amp;from=EN" TargetMode="External"/><Relationship Id="rId275" Type="http://schemas.openxmlformats.org/officeDocument/2006/relationships/hyperlink" Target="https://eur-lex.europa.eu/legal-content/HR/TXT/HTML/?uri=CELEX:52018XC0409(01)&amp;from=EN" TargetMode="External"/><Relationship Id="rId60" Type="http://schemas.openxmlformats.org/officeDocument/2006/relationships/hyperlink" Target="https://eur-lex.europa.eu/legal-content/HR/TXT/HTML/?uri=CELEX:52018XC0409(01)&amp;from=EN" TargetMode="External"/><Relationship Id="rId81" Type="http://schemas.openxmlformats.org/officeDocument/2006/relationships/hyperlink" Target="https://eur-lex.europa.eu/legal-content/HR/TXT/HTML/?uri=CELEX:52018XC0409(01)&amp;from=EN" TargetMode="External"/><Relationship Id="rId135" Type="http://schemas.openxmlformats.org/officeDocument/2006/relationships/hyperlink" Target="https://eur-lex.europa.eu/legal-content/HR/AUTO/?uri=OJ:P:1967:196:TOC" TargetMode="External"/><Relationship Id="rId156" Type="http://schemas.openxmlformats.org/officeDocument/2006/relationships/hyperlink" Target="https://eur-lex.europa.eu/legal-content/HR/TXT/HTML/?uri=CELEX:52018XC0409(01)&amp;from=EN" TargetMode="External"/><Relationship Id="rId177" Type="http://schemas.openxmlformats.org/officeDocument/2006/relationships/hyperlink" Target="https://eur-lex.europa.eu/legal-content/HR/TXT/HTML/?uri=CELEX:52018XC0409(01)&amp;from=EN" TargetMode="External"/><Relationship Id="rId198"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156</Pages>
  <Words>50953</Words>
  <Characters>290434</Characters>
  <Application>Microsoft Office Word</Application>
  <DocSecurity>0</DocSecurity>
  <Lines>2420</Lines>
  <Paragraphs>681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Jasna Kufrin</dc:creator>
  <cp:keywords/>
  <dc:description/>
  <cp:lastModifiedBy>Jasna Kufrin</cp:lastModifiedBy>
  <cp:revision>3</cp:revision>
  <dcterms:created xsi:type="dcterms:W3CDTF">2020-04-06T11:46:00Z</dcterms:created>
  <dcterms:modified xsi:type="dcterms:W3CDTF">2020-04-06T11:49:00Z</dcterms:modified>
</cp:coreProperties>
</file>